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E8C04" w14:textId="3596F527" w:rsidR="00E77320" w:rsidRDefault="00E77320" w:rsidP="009569AD">
      <w:pPr>
        <w:spacing w:after="120"/>
        <w:rPr>
          <w:rFonts w:ascii="Arial" w:hAnsi="Arial" w:cs="Arial"/>
          <w:b/>
          <w:bCs/>
        </w:rPr>
      </w:pPr>
      <w:r>
        <w:rPr>
          <w:rFonts w:ascii="Arial" w:hAnsi="Arial" w:cs="Arial"/>
          <w:b/>
          <w:bCs/>
        </w:rPr>
        <w:t>SIDEWALK LOCATIONS</w:t>
      </w:r>
      <w:r w:rsidRPr="00E77320">
        <w:rPr>
          <w:rFonts w:ascii="Arial" w:hAnsi="Arial" w:cs="Arial"/>
          <w:b/>
          <w:bCs/>
        </w:rPr>
        <w:t>:</w:t>
      </w:r>
    </w:p>
    <w:p w14:paraId="6DAFCC9C" w14:textId="77777777" w:rsidR="009569AD" w:rsidRPr="009569AD" w:rsidRDefault="009569AD" w:rsidP="009569AD">
      <w:pPr>
        <w:spacing w:after="120"/>
        <w:rPr>
          <w:rFonts w:ascii="Arial" w:hAnsi="Arial" w:cs="Arial"/>
        </w:rPr>
      </w:pPr>
      <w:r w:rsidRPr="009569AD">
        <w:rPr>
          <w:rFonts w:ascii="Arial" w:hAnsi="Arial" w:cs="Arial"/>
        </w:rPr>
        <w:t>The City of North Bay has been successful in obtaining federal and provincial funding to complete the installation of sidewalks and stormwater improvements on numerous streets throughout the City. The funding was provided in two phases with Phase 1 sidewalk program under construction from 2021 - 2026 and Phase 2 sidewalk program starting in 2025 and will be complete in 2032.</w:t>
      </w:r>
    </w:p>
    <w:p w14:paraId="5FA3C862" w14:textId="15C84EFA" w:rsidR="009569AD" w:rsidRPr="009569AD" w:rsidRDefault="009569AD" w:rsidP="009569AD">
      <w:pPr>
        <w:rPr>
          <w:rFonts w:ascii="Arial" w:hAnsi="Arial" w:cs="Arial"/>
        </w:rPr>
      </w:pPr>
      <w:r w:rsidRPr="009569AD">
        <w:rPr>
          <w:rFonts w:ascii="Arial" w:hAnsi="Arial" w:cs="Arial"/>
        </w:rPr>
        <w:t xml:space="preserve">The sidewalk program is a multi-year construction project that will benefit the neighborhoods that do not have existing sidewalks available to offer safe and reliable travel for pedestrians to and from existing transit stops and along the transit route. It provides for the construction of sidewalks on one side of the road </w:t>
      </w:r>
      <w:r>
        <w:rPr>
          <w:rFonts w:ascii="Arial" w:hAnsi="Arial" w:cs="Arial"/>
        </w:rPr>
        <w:t xml:space="preserve">and depending on the sidewalk location </w:t>
      </w:r>
      <w:r w:rsidRPr="009569AD">
        <w:rPr>
          <w:rFonts w:ascii="Arial" w:hAnsi="Arial" w:cs="Arial"/>
        </w:rPr>
        <w:t>will also include the installation of storm sewers and/or ditches, curb &amp; gutter where possible, restoration, and partial asphalt paving including granular road base.</w:t>
      </w:r>
    </w:p>
    <w:tbl>
      <w:tblPr>
        <w:tblStyle w:val="TableGrid"/>
        <w:tblW w:w="0" w:type="auto"/>
        <w:jc w:val="center"/>
        <w:tblLook w:val="04A0" w:firstRow="1" w:lastRow="0" w:firstColumn="1" w:lastColumn="0" w:noHBand="0" w:noVBand="1"/>
      </w:tblPr>
      <w:tblGrid>
        <w:gridCol w:w="1585"/>
        <w:gridCol w:w="1660"/>
        <w:gridCol w:w="1980"/>
        <w:gridCol w:w="1800"/>
      </w:tblGrid>
      <w:tr w:rsidR="00E77320" w:rsidRPr="00E77320" w14:paraId="19FA9633" w14:textId="77777777" w:rsidTr="009569AD">
        <w:trPr>
          <w:trHeight w:val="600"/>
          <w:jc w:val="center"/>
        </w:trPr>
        <w:tc>
          <w:tcPr>
            <w:tcW w:w="960" w:type="dxa"/>
            <w:noWrap/>
            <w:vAlign w:val="center"/>
          </w:tcPr>
          <w:p w14:paraId="0D607223" w14:textId="0BA3BAD8" w:rsidR="00E77320" w:rsidRPr="00E77320" w:rsidRDefault="00E77320" w:rsidP="009569AD">
            <w:pPr>
              <w:jc w:val="center"/>
              <w:rPr>
                <w:rFonts w:ascii="Arial" w:hAnsi="Arial" w:cs="Arial"/>
                <w:b/>
                <w:bCs/>
              </w:rPr>
            </w:pPr>
            <w:r>
              <w:rPr>
                <w:rFonts w:ascii="Arial" w:hAnsi="Arial" w:cs="Arial"/>
                <w:b/>
                <w:bCs/>
              </w:rPr>
              <w:t>Construction Year</w:t>
            </w:r>
          </w:p>
        </w:tc>
        <w:tc>
          <w:tcPr>
            <w:tcW w:w="1660" w:type="dxa"/>
            <w:noWrap/>
            <w:vAlign w:val="center"/>
          </w:tcPr>
          <w:p w14:paraId="48075273" w14:textId="3864630C" w:rsidR="00E77320" w:rsidRPr="00E77320" w:rsidRDefault="00E77320" w:rsidP="009569AD">
            <w:pPr>
              <w:jc w:val="center"/>
              <w:rPr>
                <w:rFonts w:ascii="Arial" w:hAnsi="Arial" w:cs="Arial"/>
                <w:b/>
                <w:bCs/>
              </w:rPr>
            </w:pPr>
            <w:r>
              <w:rPr>
                <w:rFonts w:ascii="Arial" w:hAnsi="Arial" w:cs="Arial"/>
                <w:b/>
                <w:bCs/>
              </w:rPr>
              <w:t>Street</w:t>
            </w:r>
          </w:p>
        </w:tc>
        <w:tc>
          <w:tcPr>
            <w:tcW w:w="1980" w:type="dxa"/>
            <w:vAlign w:val="center"/>
          </w:tcPr>
          <w:p w14:paraId="5BF2E649" w14:textId="2FDD2853" w:rsidR="00E77320" w:rsidRPr="00E77320" w:rsidRDefault="00E77320" w:rsidP="009569AD">
            <w:pPr>
              <w:jc w:val="center"/>
              <w:rPr>
                <w:rFonts w:ascii="Arial" w:hAnsi="Arial" w:cs="Arial"/>
                <w:b/>
                <w:bCs/>
              </w:rPr>
            </w:pPr>
            <w:r>
              <w:rPr>
                <w:rFonts w:ascii="Arial" w:hAnsi="Arial" w:cs="Arial"/>
                <w:b/>
                <w:bCs/>
              </w:rPr>
              <w:t>From</w:t>
            </w:r>
          </w:p>
        </w:tc>
        <w:tc>
          <w:tcPr>
            <w:tcW w:w="1800" w:type="dxa"/>
            <w:noWrap/>
            <w:vAlign w:val="center"/>
          </w:tcPr>
          <w:p w14:paraId="10795690" w14:textId="67538FB8" w:rsidR="00E77320" w:rsidRPr="00E77320" w:rsidRDefault="00E77320" w:rsidP="009569AD">
            <w:pPr>
              <w:jc w:val="center"/>
              <w:rPr>
                <w:rFonts w:ascii="Arial" w:hAnsi="Arial" w:cs="Arial"/>
                <w:b/>
                <w:bCs/>
              </w:rPr>
            </w:pPr>
            <w:r>
              <w:rPr>
                <w:rFonts w:ascii="Arial" w:hAnsi="Arial" w:cs="Arial"/>
                <w:b/>
                <w:bCs/>
              </w:rPr>
              <w:t>To</w:t>
            </w:r>
          </w:p>
        </w:tc>
      </w:tr>
      <w:tr w:rsidR="00E77320" w:rsidRPr="00E77320" w14:paraId="025A754D" w14:textId="77777777" w:rsidTr="009569AD">
        <w:trPr>
          <w:trHeight w:val="454"/>
          <w:jc w:val="center"/>
        </w:trPr>
        <w:tc>
          <w:tcPr>
            <w:tcW w:w="960" w:type="dxa"/>
            <w:noWrap/>
            <w:vAlign w:val="center"/>
            <w:hideMark/>
          </w:tcPr>
          <w:p w14:paraId="7AF236B5" w14:textId="0562F37A" w:rsidR="00E77320" w:rsidRPr="00E77320" w:rsidRDefault="00E77320" w:rsidP="009569AD">
            <w:pPr>
              <w:jc w:val="center"/>
              <w:rPr>
                <w:rFonts w:ascii="Arial" w:hAnsi="Arial" w:cs="Arial"/>
                <w:b/>
                <w:bCs/>
              </w:rPr>
            </w:pPr>
            <w:r>
              <w:rPr>
                <w:rFonts w:ascii="Arial" w:hAnsi="Arial" w:cs="Arial"/>
                <w:b/>
                <w:bCs/>
              </w:rPr>
              <w:t>2025</w:t>
            </w:r>
          </w:p>
        </w:tc>
        <w:tc>
          <w:tcPr>
            <w:tcW w:w="1660" w:type="dxa"/>
            <w:noWrap/>
            <w:vAlign w:val="center"/>
            <w:hideMark/>
          </w:tcPr>
          <w:p w14:paraId="3929C6E0" w14:textId="77777777" w:rsidR="00E77320" w:rsidRPr="00E77320" w:rsidRDefault="00E77320" w:rsidP="009569AD">
            <w:pPr>
              <w:jc w:val="center"/>
              <w:rPr>
                <w:rFonts w:ascii="Arial" w:hAnsi="Arial" w:cs="Arial"/>
                <w:b/>
                <w:bCs/>
              </w:rPr>
            </w:pPr>
            <w:r w:rsidRPr="00E77320">
              <w:rPr>
                <w:rFonts w:ascii="Arial" w:hAnsi="Arial" w:cs="Arial"/>
                <w:b/>
                <w:bCs/>
              </w:rPr>
              <w:t>Premier</w:t>
            </w:r>
          </w:p>
        </w:tc>
        <w:tc>
          <w:tcPr>
            <w:tcW w:w="1980" w:type="dxa"/>
            <w:vAlign w:val="center"/>
            <w:hideMark/>
          </w:tcPr>
          <w:p w14:paraId="12BF4270" w14:textId="77777777" w:rsidR="00E77320" w:rsidRPr="00E77320" w:rsidRDefault="00E77320" w:rsidP="009569AD">
            <w:pPr>
              <w:jc w:val="center"/>
              <w:rPr>
                <w:rFonts w:ascii="Arial" w:hAnsi="Arial" w:cs="Arial"/>
                <w:b/>
                <w:bCs/>
              </w:rPr>
            </w:pPr>
            <w:r w:rsidRPr="00E77320">
              <w:rPr>
                <w:rFonts w:ascii="Arial" w:hAnsi="Arial" w:cs="Arial"/>
                <w:b/>
                <w:bCs/>
              </w:rPr>
              <w:t>Fowler</w:t>
            </w:r>
          </w:p>
        </w:tc>
        <w:tc>
          <w:tcPr>
            <w:tcW w:w="1800" w:type="dxa"/>
            <w:noWrap/>
            <w:vAlign w:val="center"/>
            <w:hideMark/>
          </w:tcPr>
          <w:p w14:paraId="4E648BF8" w14:textId="77777777" w:rsidR="00E77320" w:rsidRPr="00E77320" w:rsidRDefault="00E77320" w:rsidP="009569AD">
            <w:pPr>
              <w:jc w:val="center"/>
              <w:rPr>
                <w:rFonts w:ascii="Arial" w:hAnsi="Arial" w:cs="Arial"/>
                <w:b/>
                <w:bCs/>
              </w:rPr>
            </w:pPr>
            <w:r w:rsidRPr="00E77320">
              <w:rPr>
                <w:rFonts w:ascii="Arial" w:hAnsi="Arial" w:cs="Arial"/>
                <w:b/>
                <w:bCs/>
              </w:rPr>
              <w:t>Champlain Park</w:t>
            </w:r>
          </w:p>
        </w:tc>
      </w:tr>
      <w:tr w:rsidR="00E77320" w:rsidRPr="00E77320" w14:paraId="193ECDEE" w14:textId="77777777" w:rsidTr="009569AD">
        <w:trPr>
          <w:trHeight w:val="454"/>
          <w:jc w:val="center"/>
        </w:trPr>
        <w:tc>
          <w:tcPr>
            <w:tcW w:w="960" w:type="dxa"/>
            <w:noWrap/>
            <w:vAlign w:val="center"/>
          </w:tcPr>
          <w:p w14:paraId="42742530" w14:textId="33BA8C84" w:rsidR="00E77320" w:rsidRPr="00E77320" w:rsidRDefault="00E77320" w:rsidP="009569AD">
            <w:pPr>
              <w:jc w:val="center"/>
              <w:rPr>
                <w:rFonts w:ascii="Arial" w:hAnsi="Arial" w:cs="Arial"/>
                <w:b/>
                <w:bCs/>
              </w:rPr>
            </w:pPr>
            <w:r>
              <w:rPr>
                <w:rFonts w:ascii="Arial" w:hAnsi="Arial" w:cs="Arial"/>
                <w:b/>
                <w:bCs/>
              </w:rPr>
              <w:t>2025-2026</w:t>
            </w:r>
          </w:p>
        </w:tc>
        <w:tc>
          <w:tcPr>
            <w:tcW w:w="1660" w:type="dxa"/>
            <w:noWrap/>
            <w:vAlign w:val="center"/>
          </w:tcPr>
          <w:p w14:paraId="7CC386FD" w14:textId="4428668E" w:rsidR="00E77320" w:rsidRPr="00E77320" w:rsidRDefault="00E77320" w:rsidP="009569AD">
            <w:pPr>
              <w:jc w:val="center"/>
              <w:rPr>
                <w:rFonts w:ascii="Arial" w:hAnsi="Arial" w:cs="Arial"/>
                <w:b/>
                <w:bCs/>
              </w:rPr>
            </w:pPr>
            <w:r>
              <w:rPr>
                <w:rFonts w:ascii="Arial" w:hAnsi="Arial" w:cs="Arial"/>
                <w:b/>
                <w:bCs/>
              </w:rPr>
              <w:t>Wallace</w:t>
            </w:r>
          </w:p>
        </w:tc>
        <w:tc>
          <w:tcPr>
            <w:tcW w:w="1980" w:type="dxa"/>
            <w:vAlign w:val="center"/>
          </w:tcPr>
          <w:p w14:paraId="741E8EF8" w14:textId="295CD248" w:rsidR="00E77320" w:rsidRPr="00E77320" w:rsidRDefault="00E77320" w:rsidP="009569AD">
            <w:pPr>
              <w:jc w:val="center"/>
              <w:rPr>
                <w:rFonts w:ascii="Arial" w:hAnsi="Arial" w:cs="Arial"/>
                <w:b/>
                <w:bCs/>
              </w:rPr>
            </w:pPr>
            <w:r>
              <w:rPr>
                <w:rFonts w:ascii="Arial" w:hAnsi="Arial" w:cs="Arial"/>
                <w:b/>
                <w:bCs/>
              </w:rPr>
              <w:t>Lake Heights</w:t>
            </w:r>
          </w:p>
        </w:tc>
        <w:tc>
          <w:tcPr>
            <w:tcW w:w="1800" w:type="dxa"/>
            <w:noWrap/>
            <w:vAlign w:val="center"/>
          </w:tcPr>
          <w:p w14:paraId="535FB20F" w14:textId="2690FE2A" w:rsidR="00E77320" w:rsidRPr="00E77320" w:rsidRDefault="00E77320" w:rsidP="009569AD">
            <w:pPr>
              <w:jc w:val="center"/>
              <w:rPr>
                <w:rFonts w:ascii="Arial" w:hAnsi="Arial" w:cs="Arial"/>
                <w:b/>
                <w:bCs/>
              </w:rPr>
            </w:pPr>
            <w:r>
              <w:rPr>
                <w:rFonts w:ascii="Arial" w:hAnsi="Arial" w:cs="Arial"/>
                <w:b/>
                <w:bCs/>
              </w:rPr>
              <w:t>Commerce</w:t>
            </w:r>
          </w:p>
        </w:tc>
      </w:tr>
      <w:tr w:rsidR="00E77320" w:rsidRPr="00E77320" w14:paraId="51D1EBCC" w14:textId="77777777" w:rsidTr="009569AD">
        <w:trPr>
          <w:trHeight w:val="454"/>
          <w:jc w:val="center"/>
        </w:trPr>
        <w:tc>
          <w:tcPr>
            <w:tcW w:w="960" w:type="dxa"/>
            <w:noWrap/>
            <w:vAlign w:val="center"/>
          </w:tcPr>
          <w:p w14:paraId="04C96A6A" w14:textId="0DC449FD" w:rsidR="00E77320" w:rsidRPr="00E77320" w:rsidRDefault="00E77320" w:rsidP="009569AD">
            <w:pPr>
              <w:jc w:val="center"/>
              <w:rPr>
                <w:rFonts w:ascii="Arial" w:hAnsi="Arial" w:cs="Arial"/>
                <w:b/>
                <w:bCs/>
              </w:rPr>
            </w:pPr>
            <w:r>
              <w:rPr>
                <w:rFonts w:ascii="Arial" w:hAnsi="Arial" w:cs="Arial"/>
                <w:b/>
                <w:bCs/>
              </w:rPr>
              <w:t>2025-2026</w:t>
            </w:r>
          </w:p>
        </w:tc>
        <w:tc>
          <w:tcPr>
            <w:tcW w:w="1660" w:type="dxa"/>
            <w:noWrap/>
            <w:vAlign w:val="center"/>
          </w:tcPr>
          <w:p w14:paraId="3E040F38" w14:textId="0F15447A" w:rsidR="00E77320" w:rsidRPr="00E77320" w:rsidRDefault="00E77320" w:rsidP="009569AD">
            <w:pPr>
              <w:jc w:val="center"/>
              <w:rPr>
                <w:rFonts w:ascii="Arial" w:hAnsi="Arial" w:cs="Arial"/>
                <w:b/>
                <w:bCs/>
              </w:rPr>
            </w:pPr>
            <w:r>
              <w:rPr>
                <w:rFonts w:ascii="Arial" w:hAnsi="Arial" w:cs="Arial"/>
                <w:b/>
                <w:bCs/>
              </w:rPr>
              <w:t>Commerce</w:t>
            </w:r>
          </w:p>
        </w:tc>
        <w:tc>
          <w:tcPr>
            <w:tcW w:w="1980" w:type="dxa"/>
            <w:vAlign w:val="center"/>
          </w:tcPr>
          <w:p w14:paraId="3CC89F5A" w14:textId="32626410" w:rsidR="00E77320" w:rsidRPr="00E77320" w:rsidRDefault="00E77320" w:rsidP="009569AD">
            <w:pPr>
              <w:jc w:val="center"/>
              <w:rPr>
                <w:rFonts w:ascii="Arial" w:hAnsi="Arial" w:cs="Arial"/>
                <w:b/>
                <w:bCs/>
              </w:rPr>
            </w:pPr>
            <w:r>
              <w:rPr>
                <w:rFonts w:ascii="Arial" w:hAnsi="Arial" w:cs="Arial"/>
                <w:b/>
                <w:bCs/>
              </w:rPr>
              <w:t>Wallace</w:t>
            </w:r>
          </w:p>
        </w:tc>
        <w:tc>
          <w:tcPr>
            <w:tcW w:w="1800" w:type="dxa"/>
            <w:noWrap/>
            <w:vAlign w:val="center"/>
          </w:tcPr>
          <w:p w14:paraId="77960886" w14:textId="656DF3AF" w:rsidR="00E77320" w:rsidRPr="00E77320" w:rsidRDefault="00E77320" w:rsidP="009569AD">
            <w:pPr>
              <w:jc w:val="center"/>
              <w:rPr>
                <w:rFonts w:ascii="Arial" w:hAnsi="Arial" w:cs="Arial"/>
                <w:b/>
                <w:bCs/>
              </w:rPr>
            </w:pPr>
            <w:r>
              <w:rPr>
                <w:rFonts w:ascii="Arial" w:hAnsi="Arial" w:cs="Arial"/>
                <w:b/>
                <w:bCs/>
              </w:rPr>
              <w:t>Seymour</w:t>
            </w:r>
          </w:p>
        </w:tc>
      </w:tr>
      <w:tr w:rsidR="00E77320" w:rsidRPr="00E77320" w14:paraId="4DD97C64" w14:textId="77777777" w:rsidTr="009569AD">
        <w:trPr>
          <w:trHeight w:val="454"/>
          <w:jc w:val="center"/>
        </w:trPr>
        <w:tc>
          <w:tcPr>
            <w:tcW w:w="960" w:type="dxa"/>
            <w:noWrap/>
            <w:vAlign w:val="center"/>
          </w:tcPr>
          <w:p w14:paraId="586B0B98" w14:textId="0776C070" w:rsidR="00E77320" w:rsidRPr="00E77320" w:rsidRDefault="00E77320" w:rsidP="009569AD">
            <w:pPr>
              <w:jc w:val="center"/>
              <w:rPr>
                <w:rFonts w:ascii="Arial" w:hAnsi="Arial" w:cs="Arial"/>
                <w:b/>
                <w:bCs/>
              </w:rPr>
            </w:pPr>
            <w:r>
              <w:rPr>
                <w:rFonts w:ascii="Arial" w:hAnsi="Arial" w:cs="Arial"/>
                <w:b/>
                <w:bCs/>
              </w:rPr>
              <w:t>2025-2026</w:t>
            </w:r>
          </w:p>
        </w:tc>
        <w:tc>
          <w:tcPr>
            <w:tcW w:w="1660" w:type="dxa"/>
            <w:noWrap/>
            <w:vAlign w:val="center"/>
          </w:tcPr>
          <w:p w14:paraId="1DA89D4A" w14:textId="47E89E48" w:rsidR="00E77320" w:rsidRPr="00E77320" w:rsidRDefault="00E77320" w:rsidP="009569AD">
            <w:pPr>
              <w:jc w:val="center"/>
              <w:rPr>
                <w:rFonts w:ascii="Arial" w:hAnsi="Arial" w:cs="Arial"/>
                <w:b/>
                <w:bCs/>
              </w:rPr>
            </w:pPr>
            <w:r>
              <w:rPr>
                <w:rFonts w:ascii="Arial" w:hAnsi="Arial" w:cs="Arial"/>
                <w:b/>
                <w:bCs/>
              </w:rPr>
              <w:t>Seymour</w:t>
            </w:r>
          </w:p>
        </w:tc>
        <w:tc>
          <w:tcPr>
            <w:tcW w:w="1980" w:type="dxa"/>
            <w:vAlign w:val="center"/>
          </w:tcPr>
          <w:p w14:paraId="68A6D5E7" w14:textId="4948C37C" w:rsidR="00E77320" w:rsidRPr="00E77320" w:rsidRDefault="00E77320" w:rsidP="009569AD">
            <w:pPr>
              <w:jc w:val="center"/>
              <w:rPr>
                <w:rFonts w:ascii="Arial" w:hAnsi="Arial" w:cs="Arial"/>
                <w:b/>
                <w:bCs/>
              </w:rPr>
            </w:pPr>
            <w:r>
              <w:rPr>
                <w:rFonts w:ascii="Arial" w:hAnsi="Arial" w:cs="Arial"/>
                <w:b/>
                <w:bCs/>
              </w:rPr>
              <w:t>Commerce</w:t>
            </w:r>
          </w:p>
        </w:tc>
        <w:tc>
          <w:tcPr>
            <w:tcW w:w="1800" w:type="dxa"/>
            <w:noWrap/>
            <w:vAlign w:val="center"/>
          </w:tcPr>
          <w:p w14:paraId="6368FDB2" w14:textId="78188BB3" w:rsidR="00E77320" w:rsidRPr="00E77320" w:rsidRDefault="00E77320" w:rsidP="009569AD">
            <w:pPr>
              <w:jc w:val="center"/>
              <w:rPr>
                <w:rFonts w:ascii="Arial" w:hAnsi="Arial" w:cs="Arial"/>
                <w:b/>
                <w:bCs/>
              </w:rPr>
            </w:pPr>
            <w:r>
              <w:rPr>
                <w:rFonts w:ascii="Arial" w:hAnsi="Arial" w:cs="Arial"/>
                <w:b/>
                <w:bCs/>
              </w:rPr>
              <w:t>Station</w:t>
            </w:r>
          </w:p>
        </w:tc>
      </w:tr>
      <w:tr w:rsidR="00E77320" w:rsidRPr="00E77320" w14:paraId="7680FB98" w14:textId="77777777" w:rsidTr="009569AD">
        <w:trPr>
          <w:trHeight w:val="454"/>
          <w:jc w:val="center"/>
        </w:trPr>
        <w:tc>
          <w:tcPr>
            <w:tcW w:w="960" w:type="dxa"/>
            <w:noWrap/>
            <w:vAlign w:val="center"/>
            <w:hideMark/>
          </w:tcPr>
          <w:p w14:paraId="6352B408" w14:textId="0AD9F23D" w:rsidR="00E77320" w:rsidRPr="00E77320" w:rsidRDefault="00E77320" w:rsidP="009569AD">
            <w:pPr>
              <w:jc w:val="center"/>
              <w:rPr>
                <w:rFonts w:ascii="Arial" w:hAnsi="Arial" w:cs="Arial"/>
                <w:b/>
                <w:bCs/>
              </w:rPr>
            </w:pPr>
            <w:r>
              <w:rPr>
                <w:rFonts w:ascii="Arial" w:hAnsi="Arial" w:cs="Arial"/>
                <w:b/>
                <w:bCs/>
              </w:rPr>
              <w:t>2027</w:t>
            </w:r>
          </w:p>
        </w:tc>
        <w:tc>
          <w:tcPr>
            <w:tcW w:w="1660" w:type="dxa"/>
            <w:noWrap/>
            <w:vAlign w:val="center"/>
            <w:hideMark/>
          </w:tcPr>
          <w:p w14:paraId="76D1856D" w14:textId="77777777" w:rsidR="00E77320" w:rsidRPr="00E77320" w:rsidRDefault="00E77320" w:rsidP="009569AD">
            <w:pPr>
              <w:jc w:val="center"/>
              <w:rPr>
                <w:rFonts w:ascii="Arial" w:hAnsi="Arial" w:cs="Arial"/>
                <w:b/>
                <w:bCs/>
              </w:rPr>
            </w:pPr>
            <w:r w:rsidRPr="00E77320">
              <w:rPr>
                <w:rFonts w:ascii="Arial" w:hAnsi="Arial" w:cs="Arial"/>
                <w:b/>
                <w:bCs/>
              </w:rPr>
              <w:t>Stockdale</w:t>
            </w:r>
          </w:p>
        </w:tc>
        <w:tc>
          <w:tcPr>
            <w:tcW w:w="1980" w:type="dxa"/>
            <w:vAlign w:val="center"/>
            <w:hideMark/>
          </w:tcPr>
          <w:p w14:paraId="5EF8945E" w14:textId="77777777" w:rsidR="00E77320" w:rsidRPr="00E77320" w:rsidRDefault="00E77320" w:rsidP="009569AD">
            <w:pPr>
              <w:jc w:val="center"/>
              <w:rPr>
                <w:rFonts w:ascii="Arial" w:hAnsi="Arial" w:cs="Arial"/>
                <w:b/>
                <w:bCs/>
              </w:rPr>
            </w:pPr>
            <w:r w:rsidRPr="00E77320">
              <w:rPr>
                <w:rFonts w:ascii="Arial" w:hAnsi="Arial" w:cs="Arial"/>
                <w:b/>
                <w:bCs/>
              </w:rPr>
              <w:t>Airport</w:t>
            </w:r>
          </w:p>
        </w:tc>
        <w:tc>
          <w:tcPr>
            <w:tcW w:w="1800" w:type="dxa"/>
            <w:noWrap/>
            <w:vAlign w:val="center"/>
            <w:hideMark/>
          </w:tcPr>
          <w:p w14:paraId="0160B80A" w14:textId="77777777" w:rsidR="00E77320" w:rsidRPr="00E77320" w:rsidRDefault="00E77320" w:rsidP="009569AD">
            <w:pPr>
              <w:jc w:val="center"/>
              <w:rPr>
                <w:rFonts w:ascii="Arial" w:hAnsi="Arial" w:cs="Arial"/>
                <w:b/>
                <w:bCs/>
              </w:rPr>
            </w:pPr>
            <w:r w:rsidRPr="00E77320">
              <w:rPr>
                <w:rFonts w:ascii="Arial" w:hAnsi="Arial" w:cs="Arial"/>
                <w:b/>
                <w:bCs/>
              </w:rPr>
              <w:t>Shirreff</w:t>
            </w:r>
          </w:p>
        </w:tc>
      </w:tr>
      <w:tr w:rsidR="00E77320" w:rsidRPr="00E77320" w14:paraId="748843B8" w14:textId="77777777" w:rsidTr="009569AD">
        <w:trPr>
          <w:trHeight w:val="454"/>
          <w:jc w:val="center"/>
        </w:trPr>
        <w:tc>
          <w:tcPr>
            <w:tcW w:w="960" w:type="dxa"/>
            <w:noWrap/>
            <w:vAlign w:val="center"/>
            <w:hideMark/>
          </w:tcPr>
          <w:p w14:paraId="4D40FD9D" w14:textId="32D416E3" w:rsidR="00E77320" w:rsidRPr="00E77320" w:rsidRDefault="00E77320" w:rsidP="009569AD">
            <w:pPr>
              <w:jc w:val="center"/>
              <w:rPr>
                <w:rFonts w:ascii="Arial" w:hAnsi="Arial" w:cs="Arial"/>
                <w:b/>
                <w:bCs/>
              </w:rPr>
            </w:pPr>
            <w:r>
              <w:rPr>
                <w:rFonts w:ascii="Arial" w:hAnsi="Arial" w:cs="Arial"/>
                <w:b/>
                <w:bCs/>
              </w:rPr>
              <w:t>2027</w:t>
            </w:r>
          </w:p>
        </w:tc>
        <w:tc>
          <w:tcPr>
            <w:tcW w:w="1660" w:type="dxa"/>
            <w:noWrap/>
            <w:vAlign w:val="center"/>
            <w:hideMark/>
          </w:tcPr>
          <w:p w14:paraId="514E5E1B" w14:textId="77777777" w:rsidR="00E77320" w:rsidRPr="00E77320" w:rsidRDefault="00E77320" w:rsidP="009569AD">
            <w:pPr>
              <w:jc w:val="center"/>
              <w:rPr>
                <w:rFonts w:ascii="Arial" w:hAnsi="Arial" w:cs="Arial"/>
                <w:b/>
                <w:bCs/>
              </w:rPr>
            </w:pPr>
            <w:r w:rsidRPr="00E77320">
              <w:rPr>
                <w:rFonts w:ascii="Arial" w:hAnsi="Arial" w:cs="Arial"/>
                <w:b/>
                <w:bCs/>
              </w:rPr>
              <w:t>Shirreff</w:t>
            </w:r>
          </w:p>
        </w:tc>
        <w:tc>
          <w:tcPr>
            <w:tcW w:w="1980" w:type="dxa"/>
            <w:noWrap/>
            <w:vAlign w:val="center"/>
            <w:hideMark/>
          </w:tcPr>
          <w:p w14:paraId="467D0521" w14:textId="77777777" w:rsidR="00E77320" w:rsidRPr="00E77320" w:rsidRDefault="00E77320" w:rsidP="009569AD">
            <w:pPr>
              <w:jc w:val="center"/>
              <w:rPr>
                <w:rFonts w:ascii="Arial" w:hAnsi="Arial" w:cs="Arial"/>
                <w:b/>
                <w:bCs/>
              </w:rPr>
            </w:pPr>
            <w:r w:rsidRPr="00E77320">
              <w:rPr>
                <w:rFonts w:ascii="Arial" w:hAnsi="Arial" w:cs="Arial"/>
                <w:b/>
                <w:bCs/>
              </w:rPr>
              <w:t>Stockdale</w:t>
            </w:r>
          </w:p>
        </w:tc>
        <w:tc>
          <w:tcPr>
            <w:tcW w:w="1800" w:type="dxa"/>
            <w:noWrap/>
            <w:vAlign w:val="center"/>
            <w:hideMark/>
          </w:tcPr>
          <w:p w14:paraId="453A9C3A" w14:textId="77777777" w:rsidR="00E77320" w:rsidRPr="00E77320" w:rsidRDefault="00E77320" w:rsidP="009569AD">
            <w:pPr>
              <w:jc w:val="center"/>
              <w:rPr>
                <w:rFonts w:ascii="Arial" w:hAnsi="Arial" w:cs="Arial"/>
                <w:b/>
                <w:bCs/>
              </w:rPr>
            </w:pPr>
            <w:r w:rsidRPr="00E77320">
              <w:rPr>
                <w:rFonts w:ascii="Arial" w:hAnsi="Arial" w:cs="Arial"/>
                <w:b/>
                <w:bCs/>
              </w:rPr>
              <w:t>Exist. Sidewalk</w:t>
            </w:r>
          </w:p>
        </w:tc>
      </w:tr>
      <w:tr w:rsidR="00E77320" w:rsidRPr="00E77320" w14:paraId="22C2E7EB" w14:textId="77777777" w:rsidTr="009569AD">
        <w:trPr>
          <w:trHeight w:val="454"/>
          <w:jc w:val="center"/>
        </w:trPr>
        <w:tc>
          <w:tcPr>
            <w:tcW w:w="960" w:type="dxa"/>
            <w:noWrap/>
            <w:vAlign w:val="center"/>
            <w:hideMark/>
          </w:tcPr>
          <w:p w14:paraId="2A9AE434" w14:textId="7D9FABCB" w:rsidR="00E77320" w:rsidRPr="00E77320" w:rsidRDefault="00E77320" w:rsidP="009569AD">
            <w:pPr>
              <w:jc w:val="center"/>
              <w:rPr>
                <w:rFonts w:ascii="Arial" w:hAnsi="Arial" w:cs="Arial"/>
                <w:b/>
                <w:bCs/>
              </w:rPr>
            </w:pPr>
            <w:r>
              <w:rPr>
                <w:rFonts w:ascii="Arial" w:hAnsi="Arial" w:cs="Arial"/>
                <w:b/>
                <w:bCs/>
              </w:rPr>
              <w:t>2027</w:t>
            </w:r>
          </w:p>
        </w:tc>
        <w:tc>
          <w:tcPr>
            <w:tcW w:w="1660" w:type="dxa"/>
            <w:noWrap/>
            <w:vAlign w:val="center"/>
            <w:hideMark/>
          </w:tcPr>
          <w:p w14:paraId="13316A32" w14:textId="77777777" w:rsidR="00E77320" w:rsidRPr="00E77320" w:rsidRDefault="00E77320" w:rsidP="009569AD">
            <w:pPr>
              <w:jc w:val="center"/>
              <w:rPr>
                <w:rFonts w:ascii="Arial" w:hAnsi="Arial" w:cs="Arial"/>
                <w:b/>
                <w:bCs/>
              </w:rPr>
            </w:pPr>
            <w:r w:rsidRPr="00E77320">
              <w:rPr>
                <w:rFonts w:ascii="Arial" w:hAnsi="Arial" w:cs="Arial"/>
                <w:b/>
                <w:bCs/>
              </w:rPr>
              <w:t>Norwood</w:t>
            </w:r>
          </w:p>
        </w:tc>
        <w:tc>
          <w:tcPr>
            <w:tcW w:w="1980" w:type="dxa"/>
            <w:vAlign w:val="center"/>
            <w:hideMark/>
          </w:tcPr>
          <w:p w14:paraId="69C3C8B1" w14:textId="77777777" w:rsidR="00E77320" w:rsidRPr="00E77320" w:rsidRDefault="00E77320" w:rsidP="009569AD">
            <w:pPr>
              <w:jc w:val="center"/>
              <w:rPr>
                <w:rFonts w:ascii="Arial" w:hAnsi="Arial" w:cs="Arial"/>
                <w:b/>
                <w:bCs/>
              </w:rPr>
            </w:pPr>
            <w:r w:rsidRPr="00E77320">
              <w:rPr>
                <w:rFonts w:ascii="Arial" w:hAnsi="Arial" w:cs="Arial"/>
                <w:b/>
                <w:bCs/>
              </w:rPr>
              <w:t>Algonquin</w:t>
            </w:r>
          </w:p>
        </w:tc>
        <w:tc>
          <w:tcPr>
            <w:tcW w:w="1800" w:type="dxa"/>
            <w:noWrap/>
            <w:vAlign w:val="center"/>
            <w:hideMark/>
          </w:tcPr>
          <w:p w14:paraId="16F727EA" w14:textId="77777777" w:rsidR="00E77320" w:rsidRPr="00E77320" w:rsidRDefault="00E77320" w:rsidP="009569AD">
            <w:pPr>
              <w:jc w:val="center"/>
              <w:rPr>
                <w:rFonts w:ascii="Arial" w:hAnsi="Arial" w:cs="Arial"/>
                <w:b/>
                <w:bCs/>
              </w:rPr>
            </w:pPr>
            <w:r w:rsidRPr="00E77320">
              <w:rPr>
                <w:rFonts w:ascii="Arial" w:hAnsi="Arial" w:cs="Arial"/>
                <w:b/>
                <w:bCs/>
              </w:rPr>
              <w:t>Beattie</w:t>
            </w:r>
          </w:p>
        </w:tc>
      </w:tr>
      <w:tr w:rsidR="00E77320" w:rsidRPr="00E77320" w14:paraId="65A25540" w14:textId="77777777" w:rsidTr="009569AD">
        <w:trPr>
          <w:trHeight w:val="454"/>
          <w:jc w:val="center"/>
        </w:trPr>
        <w:tc>
          <w:tcPr>
            <w:tcW w:w="960" w:type="dxa"/>
            <w:noWrap/>
            <w:vAlign w:val="center"/>
            <w:hideMark/>
          </w:tcPr>
          <w:p w14:paraId="2A47E6C8" w14:textId="254E947E" w:rsidR="00E77320" w:rsidRPr="00E77320" w:rsidRDefault="00E77320" w:rsidP="009569AD">
            <w:pPr>
              <w:jc w:val="center"/>
              <w:rPr>
                <w:rFonts w:ascii="Arial" w:hAnsi="Arial" w:cs="Arial"/>
                <w:b/>
                <w:bCs/>
              </w:rPr>
            </w:pPr>
            <w:r>
              <w:rPr>
                <w:rFonts w:ascii="Arial" w:hAnsi="Arial" w:cs="Arial"/>
                <w:b/>
                <w:bCs/>
              </w:rPr>
              <w:t>2027</w:t>
            </w:r>
          </w:p>
        </w:tc>
        <w:tc>
          <w:tcPr>
            <w:tcW w:w="1660" w:type="dxa"/>
            <w:noWrap/>
            <w:vAlign w:val="center"/>
            <w:hideMark/>
          </w:tcPr>
          <w:p w14:paraId="236D5A47" w14:textId="77777777" w:rsidR="00E77320" w:rsidRPr="00E77320" w:rsidRDefault="00E77320" w:rsidP="009569AD">
            <w:pPr>
              <w:jc w:val="center"/>
              <w:rPr>
                <w:rFonts w:ascii="Arial" w:hAnsi="Arial" w:cs="Arial"/>
                <w:b/>
                <w:bCs/>
              </w:rPr>
            </w:pPr>
            <w:r w:rsidRPr="00E77320">
              <w:rPr>
                <w:rFonts w:ascii="Arial" w:hAnsi="Arial" w:cs="Arial"/>
                <w:b/>
                <w:bCs/>
              </w:rPr>
              <w:t>Beattie</w:t>
            </w:r>
          </w:p>
        </w:tc>
        <w:tc>
          <w:tcPr>
            <w:tcW w:w="1980" w:type="dxa"/>
            <w:noWrap/>
            <w:vAlign w:val="center"/>
            <w:hideMark/>
          </w:tcPr>
          <w:p w14:paraId="352D248B" w14:textId="77777777" w:rsidR="00E77320" w:rsidRPr="00E77320" w:rsidRDefault="00E77320" w:rsidP="009569AD">
            <w:pPr>
              <w:jc w:val="center"/>
              <w:rPr>
                <w:rFonts w:ascii="Arial" w:hAnsi="Arial" w:cs="Arial"/>
                <w:b/>
                <w:bCs/>
              </w:rPr>
            </w:pPr>
            <w:r w:rsidRPr="00E77320">
              <w:rPr>
                <w:rFonts w:ascii="Arial" w:hAnsi="Arial" w:cs="Arial"/>
                <w:b/>
                <w:bCs/>
              </w:rPr>
              <w:t>Maplewood</w:t>
            </w:r>
          </w:p>
        </w:tc>
        <w:tc>
          <w:tcPr>
            <w:tcW w:w="1800" w:type="dxa"/>
            <w:noWrap/>
            <w:vAlign w:val="center"/>
            <w:hideMark/>
          </w:tcPr>
          <w:p w14:paraId="1FDFBEAA" w14:textId="77777777" w:rsidR="00E77320" w:rsidRPr="00E77320" w:rsidRDefault="00E77320" w:rsidP="009569AD">
            <w:pPr>
              <w:jc w:val="center"/>
              <w:rPr>
                <w:rFonts w:ascii="Arial" w:hAnsi="Arial" w:cs="Arial"/>
                <w:b/>
                <w:bCs/>
              </w:rPr>
            </w:pPr>
            <w:r w:rsidRPr="00E77320">
              <w:rPr>
                <w:rFonts w:ascii="Arial" w:hAnsi="Arial" w:cs="Arial"/>
                <w:b/>
                <w:bCs/>
              </w:rPr>
              <w:t>Norwood</w:t>
            </w:r>
          </w:p>
        </w:tc>
      </w:tr>
      <w:tr w:rsidR="00E77320" w:rsidRPr="00E77320" w14:paraId="06481B28" w14:textId="77777777" w:rsidTr="009569AD">
        <w:trPr>
          <w:trHeight w:val="454"/>
          <w:jc w:val="center"/>
        </w:trPr>
        <w:tc>
          <w:tcPr>
            <w:tcW w:w="960" w:type="dxa"/>
            <w:noWrap/>
            <w:vAlign w:val="center"/>
            <w:hideMark/>
          </w:tcPr>
          <w:p w14:paraId="1FAD5BC2" w14:textId="1F39C352" w:rsidR="00E77320" w:rsidRPr="00E77320" w:rsidRDefault="00E77320" w:rsidP="009569AD">
            <w:pPr>
              <w:jc w:val="center"/>
              <w:rPr>
                <w:rFonts w:ascii="Arial" w:hAnsi="Arial" w:cs="Arial"/>
                <w:b/>
                <w:bCs/>
              </w:rPr>
            </w:pPr>
            <w:r>
              <w:rPr>
                <w:rFonts w:ascii="Arial" w:hAnsi="Arial" w:cs="Arial"/>
                <w:b/>
                <w:bCs/>
              </w:rPr>
              <w:t>2028</w:t>
            </w:r>
          </w:p>
        </w:tc>
        <w:tc>
          <w:tcPr>
            <w:tcW w:w="1660" w:type="dxa"/>
            <w:noWrap/>
            <w:vAlign w:val="center"/>
            <w:hideMark/>
          </w:tcPr>
          <w:p w14:paraId="58A5DD58" w14:textId="77777777" w:rsidR="00E77320" w:rsidRPr="00E77320" w:rsidRDefault="00E77320" w:rsidP="009569AD">
            <w:pPr>
              <w:jc w:val="center"/>
              <w:rPr>
                <w:rFonts w:ascii="Arial" w:hAnsi="Arial" w:cs="Arial"/>
                <w:b/>
                <w:bCs/>
              </w:rPr>
            </w:pPr>
            <w:r w:rsidRPr="00E77320">
              <w:rPr>
                <w:rFonts w:ascii="Arial" w:hAnsi="Arial" w:cs="Arial"/>
                <w:b/>
                <w:bCs/>
              </w:rPr>
              <w:t>Dane</w:t>
            </w:r>
          </w:p>
        </w:tc>
        <w:tc>
          <w:tcPr>
            <w:tcW w:w="1980" w:type="dxa"/>
            <w:noWrap/>
            <w:vAlign w:val="center"/>
            <w:hideMark/>
          </w:tcPr>
          <w:p w14:paraId="6E2957D3" w14:textId="77777777" w:rsidR="00E77320" w:rsidRPr="00E77320" w:rsidRDefault="00E77320" w:rsidP="009569AD">
            <w:pPr>
              <w:jc w:val="center"/>
              <w:rPr>
                <w:rFonts w:ascii="Arial" w:hAnsi="Arial" w:cs="Arial"/>
                <w:b/>
                <w:bCs/>
              </w:rPr>
            </w:pPr>
            <w:r w:rsidRPr="00E77320">
              <w:rPr>
                <w:rFonts w:ascii="Arial" w:hAnsi="Arial" w:cs="Arial"/>
                <w:b/>
                <w:bCs/>
              </w:rPr>
              <w:t>Chapais</w:t>
            </w:r>
          </w:p>
        </w:tc>
        <w:tc>
          <w:tcPr>
            <w:tcW w:w="1800" w:type="dxa"/>
            <w:noWrap/>
            <w:vAlign w:val="center"/>
            <w:hideMark/>
          </w:tcPr>
          <w:p w14:paraId="431B3835" w14:textId="77777777" w:rsidR="00E77320" w:rsidRPr="00E77320" w:rsidRDefault="00E77320" w:rsidP="009569AD">
            <w:pPr>
              <w:jc w:val="center"/>
              <w:rPr>
                <w:rFonts w:ascii="Arial" w:hAnsi="Arial" w:cs="Arial"/>
                <w:b/>
                <w:bCs/>
              </w:rPr>
            </w:pPr>
            <w:r w:rsidRPr="00E77320">
              <w:rPr>
                <w:rFonts w:ascii="Arial" w:hAnsi="Arial" w:cs="Arial"/>
                <w:b/>
                <w:bCs/>
              </w:rPr>
              <w:t>Frost</w:t>
            </w:r>
          </w:p>
        </w:tc>
      </w:tr>
      <w:tr w:rsidR="00E77320" w:rsidRPr="00E77320" w14:paraId="1FE25E25" w14:textId="77777777" w:rsidTr="009569AD">
        <w:trPr>
          <w:trHeight w:val="454"/>
          <w:jc w:val="center"/>
        </w:trPr>
        <w:tc>
          <w:tcPr>
            <w:tcW w:w="960" w:type="dxa"/>
            <w:noWrap/>
            <w:vAlign w:val="center"/>
            <w:hideMark/>
          </w:tcPr>
          <w:p w14:paraId="17466F1A" w14:textId="2E7AB567" w:rsidR="00E77320" w:rsidRPr="00E77320" w:rsidRDefault="00E77320" w:rsidP="009569AD">
            <w:pPr>
              <w:jc w:val="center"/>
              <w:rPr>
                <w:rFonts w:ascii="Arial" w:hAnsi="Arial" w:cs="Arial"/>
                <w:b/>
                <w:bCs/>
              </w:rPr>
            </w:pPr>
            <w:r>
              <w:rPr>
                <w:rFonts w:ascii="Arial" w:hAnsi="Arial" w:cs="Arial"/>
                <w:b/>
                <w:bCs/>
              </w:rPr>
              <w:t>2029</w:t>
            </w:r>
          </w:p>
        </w:tc>
        <w:tc>
          <w:tcPr>
            <w:tcW w:w="1660" w:type="dxa"/>
            <w:noWrap/>
            <w:vAlign w:val="center"/>
            <w:hideMark/>
          </w:tcPr>
          <w:p w14:paraId="0420FA50" w14:textId="77777777" w:rsidR="00E77320" w:rsidRPr="00E77320" w:rsidRDefault="00E77320" w:rsidP="009569AD">
            <w:pPr>
              <w:jc w:val="center"/>
              <w:rPr>
                <w:rFonts w:ascii="Arial" w:hAnsi="Arial" w:cs="Arial"/>
                <w:b/>
                <w:bCs/>
              </w:rPr>
            </w:pPr>
            <w:r w:rsidRPr="00E77320">
              <w:rPr>
                <w:rFonts w:ascii="Arial" w:hAnsi="Arial" w:cs="Arial"/>
                <w:b/>
                <w:bCs/>
              </w:rPr>
              <w:t>Frost</w:t>
            </w:r>
          </w:p>
        </w:tc>
        <w:tc>
          <w:tcPr>
            <w:tcW w:w="1980" w:type="dxa"/>
            <w:vAlign w:val="center"/>
            <w:hideMark/>
          </w:tcPr>
          <w:p w14:paraId="002F7594" w14:textId="77777777" w:rsidR="00E77320" w:rsidRPr="00E77320" w:rsidRDefault="00E77320" w:rsidP="009569AD">
            <w:pPr>
              <w:jc w:val="center"/>
              <w:rPr>
                <w:rFonts w:ascii="Arial" w:hAnsi="Arial" w:cs="Arial"/>
                <w:b/>
                <w:bCs/>
              </w:rPr>
            </w:pPr>
            <w:r w:rsidRPr="00E77320">
              <w:rPr>
                <w:rFonts w:ascii="Arial" w:hAnsi="Arial" w:cs="Arial"/>
                <w:b/>
                <w:bCs/>
              </w:rPr>
              <w:t>Dane</w:t>
            </w:r>
          </w:p>
        </w:tc>
        <w:tc>
          <w:tcPr>
            <w:tcW w:w="1800" w:type="dxa"/>
            <w:noWrap/>
            <w:vAlign w:val="center"/>
            <w:hideMark/>
          </w:tcPr>
          <w:p w14:paraId="37BE702E" w14:textId="77777777" w:rsidR="00E77320" w:rsidRPr="00E77320" w:rsidRDefault="00E77320" w:rsidP="009569AD">
            <w:pPr>
              <w:jc w:val="center"/>
              <w:rPr>
                <w:rFonts w:ascii="Arial" w:hAnsi="Arial" w:cs="Arial"/>
                <w:b/>
                <w:bCs/>
              </w:rPr>
            </w:pPr>
            <w:r w:rsidRPr="00E77320">
              <w:rPr>
                <w:rFonts w:ascii="Arial" w:hAnsi="Arial" w:cs="Arial"/>
                <w:b/>
                <w:bCs/>
              </w:rPr>
              <w:t>Angus</w:t>
            </w:r>
          </w:p>
        </w:tc>
      </w:tr>
      <w:tr w:rsidR="00E77320" w:rsidRPr="00E77320" w14:paraId="252B03D3" w14:textId="77777777" w:rsidTr="009569AD">
        <w:trPr>
          <w:trHeight w:val="454"/>
          <w:jc w:val="center"/>
        </w:trPr>
        <w:tc>
          <w:tcPr>
            <w:tcW w:w="960" w:type="dxa"/>
            <w:noWrap/>
            <w:vAlign w:val="center"/>
            <w:hideMark/>
          </w:tcPr>
          <w:p w14:paraId="4A42739A" w14:textId="6C0DE299" w:rsidR="00E77320" w:rsidRPr="00E77320" w:rsidRDefault="00E77320" w:rsidP="009569AD">
            <w:pPr>
              <w:jc w:val="center"/>
              <w:rPr>
                <w:rFonts w:ascii="Arial" w:hAnsi="Arial" w:cs="Arial"/>
                <w:b/>
                <w:bCs/>
              </w:rPr>
            </w:pPr>
            <w:r>
              <w:rPr>
                <w:rFonts w:ascii="Arial" w:hAnsi="Arial" w:cs="Arial"/>
                <w:b/>
                <w:bCs/>
              </w:rPr>
              <w:t>2029</w:t>
            </w:r>
          </w:p>
        </w:tc>
        <w:tc>
          <w:tcPr>
            <w:tcW w:w="1660" w:type="dxa"/>
            <w:noWrap/>
            <w:vAlign w:val="center"/>
            <w:hideMark/>
          </w:tcPr>
          <w:p w14:paraId="7259C3B1" w14:textId="77777777" w:rsidR="00E77320" w:rsidRPr="00E77320" w:rsidRDefault="00E77320" w:rsidP="009569AD">
            <w:pPr>
              <w:jc w:val="center"/>
              <w:rPr>
                <w:rFonts w:ascii="Arial" w:hAnsi="Arial" w:cs="Arial"/>
                <w:b/>
                <w:bCs/>
              </w:rPr>
            </w:pPr>
            <w:r w:rsidRPr="00E77320">
              <w:rPr>
                <w:rFonts w:ascii="Arial" w:hAnsi="Arial" w:cs="Arial"/>
                <w:b/>
                <w:bCs/>
              </w:rPr>
              <w:t>Albert</w:t>
            </w:r>
          </w:p>
        </w:tc>
        <w:tc>
          <w:tcPr>
            <w:tcW w:w="1980" w:type="dxa"/>
            <w:noWrap/>
            <w:vAlign w:val="center"/>
            <w:hideMark/>
          </w:tcPr>
          <w:p w14:paraId="78B55AF4" w14:textId="4218FFED" w:rsidR="00E77320" w:rsidRPr="00E77320" w:rsidRDefault="00E77320" w:rsidP="009569AD">
            <w:pPr>
              <w:jc w:val="center"/>
              <w:rPr>
                <w:rFonts w:ascii="Arial" w:hAnsi="Arial" w:cs="Arial"/>
                <w:b/>
                <w:bCs/>
              </w:rPr>
            </w:pPr>
            <w:r w:rsidRPr="00E77320">
              <w:rPr>
                <w:rFonts w:ascii="Arial" w:hAnsi="Arial" w:cs="Arial"/>
                <w:b/>
                <w:bCs/>
              </w:rPr>
              <w:t>Frost</w:t>
            </w:r>
          </w:p>
        </w:tc>
        <w:tc>
          <w:tcPr>
            <w:tcW w:w="1800" w:type="dxa"/>
            <w:noWrap/>
            <w:vAlign w:val="center"/>
            <w:hideMark/>
          </w:tcPr>
          <w:p w14:paraId="606F3401" w14:textId="77777777" w:rsidR="00E77320" w:rsidRPr="00E77320" w:rsidRDefault="00E77320" w:rsidP="009569AD">
            <w:pPr>
              <w:jc w:val="center"/>
              <w:rPr>
                <w:rFonts w:ascii="Arial" w:hAnsi="Arial" w:cs="Arial"/>
                <w:b/>
                <w:bCs/>
              </w:rPr>
            </w:pPr>
            <w:r w:rsidRPr="00E77320">
              <w:rPr>
                <w:rFonts w:ascii="Arial" w:hAnsi="Arial" w:cs="Arial"/>
                <w:b/>
                <w:bCs/>
              </w:rPr>
              <w:t>O'Brien</w:t>
            </w:r>
          </w:p>
        </w:tc>
      </w:tr>
      <w:tr w:rsidR="00E77320" w:rsidRPr="00E77320" w14:paraId="5BD81D8D" w14:textId="77777777" w:rsidTr="009569AD">
        <w:trPr>
          <w:trHeight w:val="454"/>
          <w:jc w:val="center"/>
        </w:trPr>
        <w:tc>
          <w:tcPr>
            <w:tcW w:w="960" w:type="dxa"/>
            <w:noWrap/>
            <w:vAlign w:val="center"/>
            <w:hideMark/>
          </w:tcPr>
          <w:p w14:paraId="7E3E79FC" w14:textId="21CFCCC5" w:rsidR="00E77320" w:rsidRPr="00E77320" w:rsidRDefault="00E77320" w:rsidP="009569AD">
            <w:pPr>
              <w:jc w:val="center"/>
              <w:rPr>
                <w:rFonts w:ascii="Arial" w:hAnsi="Arial" w:cs="Arial"/>
                <w:b/>
                <w:bCs/>
              </w:rPr>
            </w:pPr>
            <w:r>
              <w:rPr>
                <w:rFonts w:ascii="Arial" w:hAnsi="Arial" w:cs="Arial"/>
                <w:b/>
                <w:bCs/>
              </w:rPr>
              <w:t>2030</w:t>
            </w:r>
          </w:p>
        </w:tc>
        <w:tc>
          <w:tcPr>
            <w:tcW w:w="1660" w:type="dxa"/>
            <w:noWrap/>
            <w:vAlign w:val="center"/>
            <w:hideMark/>
          </w:tcPr>
          <w:p w14:paraId="3DDAAB90" w14:textId="77777777" w:rsidR="00E77320" w:rsidRPr="00E77320" w:rsidRDefault="00E77320" w:rsidP="009569AD">
            <w:pPr>
              <w:jc w:val="center"/>
              <w:rPr>
                <w:rFonts w:ascii="Arial" w:hAnsi="Arial" w:cs="Arial"/>
                <w:b/>
                <w:bCs/>
              </w:rPr>
            </w:pPr>
            <w:r w:rsidRPr="00E77320">
              <w:rPr>
                <w:rFonts w:ascii="Arial" w:hAnsi="Arial" w:cs="Arial"/>
                <w:b/>
                <w:bCs/>
              </w:rPr>
              <w:t>Oak</w:t>
            </w:r>
          </w:p>
        </w:tc>
        <w:tc>
          <w:tcPr>
            <w:tcW w:w="1980" w:type="dxa"/>
            <w:vAlign w:val="center"/>
            <w:hideMark/>
          </w:tcPr>
          <w:p w14:paraId="08F48643" w14:textId="77777777" w:rsidR="00E77320" w:rsidRPr="00E77320" w:rsidRDefault="00E77320" w:rsidP="009569AD">
            <w:pPr>
              <w:jc w:val="center"/>
              <w:rPr>
                <w:rFonts w:ascii="Arial" w:hAnsi="Arial" w:cs="Arial"/>
                <w:b/>
                <w:bCs/>
              </w:rPr>
            </w:pPr>
            <w:r w:rsidRPr="00E77320">
              <w:rPr>
                <w:rFonts w:ascii="Arial" w:hAnsi="Arial" w:cs="Arial"/>
                <w:b/>
                <w:bCs/>
              </w:rPr>
              <w:t>Wyld</w:t>
            </w:r>
          </w:p>
        </w:tc>
        <w:tc>
          <w:tcPr>
            <w:tcW w:w="1800" w:type="dxa"/>
            <w:noWrap/>
            <w:vAlign w:val="center"/>
            <w:hideMark/>
          </w:tcPr>
          <w:p w14:paraId="27CF6EBD" w14:textId="77777777" w:rsidR="00E77320" w:rsidRPr="00E77320" w:rsidRDefault="00E77320" w:rsidP="009569AD">
            <w:pPr>
              <w:jc w:val="center"/>
              <w:rPr>
                <w:rFonts w:ascii="Arial" w:hAnsi="Arial" w:cs="Arial"/>
                <w:b/>
                <w:bCs/>
              </w:rPr>
            </w:pPr>
            <w:r w:rsidRPr="00E77320">
              <w:rPr>
                <w:rFonts w:ascii="Arial" w:hAnsi="Arial" w:cs="Arial"/>
                <w:b/>
                <w:bCs/>
              </w:rPr>
              <w:t>Main</w:t>
            </w:r>
          </w:p>
        </w:tc>
      </w:tr>
      <w:tr w:rsidR="00E77320" w:rsidRPr="00E77320" w14:paraId="666CA5AD" w14:textId="77777777" w:rsidTr="009569AD">
        <w:trPr>
          <w:trHeight w:val="454"/>
          <w:jc w:val="center"/>
        </w:trPr>
        <w:tc>
          <w:tcPr>
            <w:tcW w:w="960" w:type="dxa"/>
            <w:noWrap/>
            <w:vAlign w:val="center"/>
            <w:hideMark/>
          </w:tcPr>
          <w:p w14:paraId="0CF2A2B6" w14:textId="0A00D1C9" w:rsidR="00E77320" w:rsidRPr="00E77320" w:rsidRDefault="00E77320" w:rsidP="009569AD">
            <w:pPr>
              <w:jc w:val="center"/>
              <w:rPr>
                <w:rFonts w:ascii="Arial" w:hAnsi="Arial" w:cs="Arial"/>
                <w:b/>
                <w:bCs/>
              </w:rPr>
            </w:pPr>
            <w:r>
              <w:rPr>
                <w:rFonts w:ascii="Arial" w:hAnsi="Arial" w:cs="Arial"/>
                <w:b/>
                <w:bCs/>
              </w:rPr>
              <w:t>2030</w:t>
            </w:r>
          </w:p>
        </w:tc>
        <w:tc>
          <w:tcPr>
            <w:tcW w:w="1660" w:type="dxa"/>
            <w:noWrap/>
            <w:vAlign w:val="center"/>
            <w:hideMark/>
          </w:tcPr>
          <w:p w14:paraId="5358D697" w14:textId="541F1205" w:rsidR="00E77320" w:rsidRPr="00E77320" w:rsidRDefault="00E77320" w:rsidP="009569AD">
            <w:pPr>
              <w:jc w:val="center"/>
              <w:rPr>
                <w:rFonts w:ascii="Arial" w:hAnsi="Arial" w:cs="Arial"/>
                <w:b/>
                <w:bCs/>
              </w:rPr>
            </w:pPr>
            <w:r w:rsidRPr="00E77320">
              <w:rPr>
                <w:rFonts w:ascii="Arial" w:hAnsi="Arial" w:cs="Arial"/>
                <w:b/>
                <w:bCs/>
              </w:rPr>
              <w:t>John</w:t>
            </w:r>
          </w:p>
        </w:tc>
        <w:tc>
          <w:tcPr>
            <w:tcW w:w="1980" w:type="dxa"/>
            <w:noWrap/>
            <w:vAlign w:val="center"/>
            <w:hideMark/>
          </w:tcPr>
          <w:p w14:paraId="122D3AB8" w14:textId="77777777" w:rsidR="00E77320" w:rsidRPr="00E77320" w:rsidRDefault="00E77320" w:rsidP="009569AD">
            <w:pPr>
              <w:jc w:val="center"/>
              <w:rPr>
                <w:rFonts w:ascii="Arial" w:hAnsi="Arial" w:cs="Arial"/>
                <w:b/>
                <w:bCs/>
              </w:rPr>
            </w:pPr>
            <w:r w:rsidRPr="00E77320">
              <w:rPr>
                <w:rFonts w:ascii="Arial" w:hAnsi="Arial" w:cs="Arial"/>
                <w:b/>
                <w:bCs/>
              </w:rPr>
              <w:t>Oak</w:t>
            </w:r>
          </w:p>
        </w:tc>
        <w:tc>
          <w:tcPr>
            <w:tcW w:w="1800" w:type="dxa"/>
            <w:noWrap/>
            <w:vAlign w:val="center"/>
            <w:hideMark/>
          </w:tcPr>
          <w:p w14:paraId="6C3272D7" w14:textId="77777777" w:rsidR="00E77320" w:rsidRPr="00E77320" w:rsidRDefault="00E77320" w:rsidP="009569AD">
            <w:pPr>
              <w:jc w:val="center"/>
              <w:rPr>
                <w:rFonts w:ascii="Arial" w:hAnsi="Arial" w:cs="Arial"/>
                <w:b/>
                <w:bCs/>
              </w:rPr>
            </w:pPr>
            <w:r w:rsidRPr="00E77320">
              <w:rPr>
                <w:rFonts w:ascii="Arial" w:hAnsi="Arial" w:cs="Arial"/>
                <w:b/>
                <w:bCs/>
              </w:rPr>
              <w:t>Main</w:t>
            </w:r>
          </w:p>
        </w:tc>
      </w:tr>
      <w:tr w:rsidR="00E77320" w:rsidRPr="00E77320" w14:paraId="6E5BB295" w14:textId="77777777" w:rsidTr="009569AD">
        <w:trPr>
          <w:trHeight w:val="454"/>
          <w:jc w:val="center"/>
        </w:trPr>
        <w:tc>
          <w:tcPr>
            <w:tcW w:w="960" w:type="dxa"/>
            <w:noWrap/>
            <w:vAlign w:val="center"/>
            <w:hideMark/>
          </w:tcPr>
          <w:p w14:paraId="711CDC8C" w14:textId="5E51FA6B" w:rsidR="00E77320" w:rsidRPr="00E77320" w:rsidRDefault="00E77320" w:rsidP="009569AD">
            <w:pPr>
              <w:jc w:val="center"/>
              <w:rPr>
                <w:rFonts w:ascii="Arial" w:hAnsi="Arial" w:cs="Arial"/>
                <w:b/>
                <w:bCs/>
              </w:rPr>
            </w:pPr>
            <w:r>
              <w:rPr>
                <w:rFonts w:ascii="Arial" w:hAnsi="Arial" w:cs="Arial"/>
                <w:b/>
                <w:bCs/>
              </w:rPr>
              <w:t>2030</w:t>
            </w:r>
          </w:p>
        </w:tc>
        <w:tc>
          <w:tcPr>
            <w:tcW w:w="1660" w:type="dxa"/>
            <w:noWrap/>
            <w:vAlign w:val="center"/>
            <w:hideMark/>
          </w:tcPr>
          <w:p w14:paraId="7B45ECFA" w14:textId="77777777" w:rsidR="00E77320" w:rsidRPr="00E77320" w:rsidRDefault="00E77320" w:rsidP="009569AD">
            <w:pPr>
              <w:jc w:val="center"/>
              <w:rPr>
                <w:rFonts w:ascii="Arial" w:hAnsi="Arial" w:cs="Arial"/>
                <w:b/>
                <w:bCs/>
              </w:rPr>
            </w:pPr>
            <w:r w:rsidRPr="00E77320">
              <w:rPr>
                <w:rFonts w:ascii="Arial" w:hAnsi="Arial" w:cs="Arial"/>
                <w:b/>
                <w:bCs/>
              </w:rPr>
              <w:t>Pearce</w:t>
            </w:r>
          </w:p>
        </w:tc>
        <w:tc>
          <w:tcPr>
            <w:tcW w:w="1980" w:type="dxa"/>
            <w:noWrap/>
            <w:vAlign w:val="center"/>
            <w:hideMark/>
          </w:tcPr>
          <w:p w14:paraId="44A1386B" w14:textId="77777777" w:rsidR="00E77320" w:rsidRPr="00E77320" w:rsidRDefault="00E77320" w:rsidP="009569AD">
            <w:pPr>
              <w:jc w:val="center"/>
              <w:rPr>
                <w:rFonts w:ascii="Arial" w:hAnsi="Arial" w:cs="Arial"/>
                <w:b/>
                <w:bCs/>
              </w:rPr>
            </w:pPr>
            <w:r w:rsidRPr="00E77320">
              <w:rPr>
                <w:rFonts w:ascii="Arial" w:hAnsi="Arial" w:cs="Arial"/>
                <w:b/>
                <w:bCs/>
              </w:rPr>
              <w:t>Greenhill</w:t>
            </w:r>
          </w:p>
        </w:tc>
        <w:tc>
          <w:tcPr>
            <w:tcW w:w="1800" w:type="dxa"/>
            <w:noWrap/>
            <w:vAlign w:val="center"/>
            <w:hideMark/>
          </w:tcPr>
          <w:p w14:paraId="77FE359D" w14:textId="77777777" w:rsidR="00E77320" w:rsidRPr="00E77320" w:rsidRDefault="00E77320" w:rsidP="009569AD">
            <w:pPr>
              <w:jc w:val="center"/>
              <w:rPr>
                <w:rFonts w:ascii="Arial" w:hAnsi="Arial" w:cs="Arial"/>
                <w:b/>
                <w:bCs/>
              </w:rPr>
            </w:pPr>
            <w:r w:rsidRPr="00E77320">
              <w:rPr>
                <w:rFonts w:ascii="Arial" w:hAnsi="Arial" w:cs="Arial"/>
                <w:b/>
                <w:bCs/>
              </w:rPr>
              <w:t>Pipeline</w:t>
            </w:r>
          </w:p>
        </w:tc>
      </w:tr>
      <w:tr w:rsidR="00E77320" w:rsidRPr="00E77320" w14:paraId="5AF39875" w14:textId="77777777" w:rsidTr="009569AD">
        <w:trPr>
          <w:trHeight w:val="454"/>
          <w:jc w:val="center"/>
        </w:trPr>
        <w:tc>
          <w:tcPr>
            <w:tcW w:w="960" w:type="dxa"/>
            <w:noWrap/>
            <w:vAlign w:val="center"/>
            <w:hideMark/>
          </w:tcPr>
          <w:p w14:paraId="4EDEE35B" w14:textId="06833A6B" w:rsidR="00E77320" w:rsidRPr="00E77320" w:rsidRDefault="00E77320" w:rsidP="009569AD">
            <w:pPr>
              <w:jc w:val="center"/>
              <w:rPr>
                <w:rFonts w:ascii="Arial" w:hAnsi="Arial" w:cs="Arial"/>
                <w:b/>
                <w:bCs/>
              </w:rPr>
            </w:pPr>
            <w:r>
              <w:rPr>
                <w:rFonts w:ascii="Arial" w:hAnsi="Arial" w:cs="Arial"/>
                <w:b/>
                <w:bCs/>
              </w:rPr>
              <w:t>2031-2032</w:t>
            </w:r>
          </w:p>
        </w:tc>
        <w:tc>
          <w:tcPr>
            <w:tcW w:w="1660" w:type="dxa"/>
            <w:noWrap/>
            <w:vAlign w:val="center"/>
            <w:hideMark/>
          </w:tcPr>
          <w:p w14:paraId="57C5032F" w14:textId="77777777" w:rsidR="00E77320" w:rsidRPr="00E77320" w:rsidRDefault="00E77320" w:rsidP="009569AD">
            <w:pPr>
              <w:jc w:val="center"/>
              <w:rPr>
                <w:rFonts w:ascii="Arial" w:hAnsi="Arial" w:cs="Arial"/>
                <w:b/>
                <w:bCs/>
              </w:rPr>
            </w:pPr>
            <w:r w:rsidRPr="00E77320">
              <w:rPr>
                <w:rFonts w:ascii="Arial" w:hAnsi="Arial" w:cs="Arial"/>
                <w:b/>
                <w:bCs/>
              </w:rPr>
              <w:t>Sage</w:t>
            </w:r>
          </w:p>
        </w:tc>
        <w:tc>
          <w:tcPr>
            <w:tcW w:w="1980" w:type="dxa"/>
            <w:vAlign w:val="center"/>
            <w:hideMark/>
          </w:tcPr>
          <w:p w14:paraId="3C17F5D8" w14:textId="77777777" w:rsidR="00E77320" w:rsidRPr="00E77320" w:rsidRDefault="00E77320" w:rsidP="009569AD">
            <w:pPr>
              <w:jc w:val="center"/>
              <w:rPr>
                <w:rFonts w:ascii="Arial" w:hAnsi="Arial" w:cs="Arial"/>
                <w:b/>
                <w:bCs/>
              </w:rPr>
            </w:pPr>
            <w:r w:rsidRPr="00E77320">
              <w:rPr>
                <w:rFonts w:ascii="Arial" w:hAnsi="Arial" w:cs="Arial"/>
                <w:b/>
                <w:bCs/>
              </w:rPr>
              <w:t>Rita</w:t>
            </w:r>
          </w:p>
        </w:tc>
        <w:tc>
          <w:tcPr>
            <w:tcW w:w="1800" w:type="dxa"/>
            <w:noWrap/>
            <w:vAlign w:val="center"/>
            <w:hideMark/>
          </w:tcPr>
          <w:p w14:paraId="7E3F3C27" w14:textId="77777777" w:rsidR="00E77320" w:rsidRPr="00E77320" w:rsidRDefault="00E77320" w:rsidP="009569AD">
            <w:pPr>
              <w:jc w:val="center"/>
              <w:rPr>
                <w:rFonts w:ascii="Arial" w:hAnsi="Arial" w:cs="Arial"/>
                <w:b/>
                <w:bCs/>
              </w:rPr>
            </w:pPr>
            <w:r w:rsidRPr="00E77320">
              <w:rPr>
                <w:rFonts w:ascii="Arial" w:hAnsi="Arial" w:cs="Arial"/>
                <w:b/>
                <w:bCs/>
              </w:rPr>
              <w:t>Shallot</w:t>
            </w:r>
          </w:p>
        </w:tc>
      </w:tr>
    </w:tbl>
    <w:p w14:paraId="093ADEF0" w14:textId="77777777" w:rsidR="00E77320" w:rsidRDefault="00E77320" w:rsidP="00C35834">
      <w:pPr>
        <w:rPr>
          <w:rFonts w:ascii="Arial" w:hAnsi="Arial" w:cs="Arial"/>
          <w:b/>
          <w:bCs/>
        </w:rPr>
      </w:pPr>
    </w:p>
    <w:p w14:paraId="18F0304A" w14:textId="586F24AB" w:rsidR="001B124B" w:rsidRPr="001B124B" w:rsidRDefault="001B124B" w:rsidP="00C35834">
      <w:pPr>
        <w:rPr>
          <w:rFonts w:ascii="Arial" w:hAnsi="Arial" w:cs="Arial"/>
          <w:b/>
        </w:rPr>
      </w:pPr>
      <w:r w:rsidRPr="001B124B">
        <w:rPr>
          <w:rFonts w:ascii="Arial" w:hAnsi="Arial" w:cs="Arial"/>
          <w:b/>
        </w:rPr>
        <w:t>WHAT TO EXPECT ONCE CONSTRUCTION BEGINS:</w:t>
      </w:r>
    </w:p>
    <w:tbl>
      <w:tblPr>
        <w:tblStyle w:val="TableGrid"/>
        <w:tblW w:w="0" w:type="auto"/>
        <w:tblInd w:w="-5" w:type="dxa"/>
        <w:tblLook w:val="04A0" w:firstRow="1" w:lastRow="0" w:firstColumn="1" w:lastColumn="0" w:noHBand="0" w:noVBand="1"/>
      </w:tblPr>
      <w:tblGrid>
        <w:gridCol w:w="1946"/>
        <w:gridCol w:w="8129"/>
      </w:tblGrid>
      <w:tr w:rsidR="001B124B" w:rsidRPr="001B124B" w14:paraId="16D17D21" w14:textId="77777777" w:rsidTr="001B124B">
        <w:tc>
          <w:tcPr>
            <w:tcW w:w="1946" w:type="dxa"/>
          </w:tcPr>
          <w:p w14:paraId="51793FD4" w14:textId="77777777" w:rsidR="001B124B" w:rsidRPr="001B124B" w:rsidRDefault="001B124B" w:rsidP="001B124B">
            <w:pPr>
              <w:spacing w:after="200" w:line="276" w:lineRule="auto"/>
              <w:rPr>
                <w:rFonts w:ascii="Arial" w:hAnsi="Arial" w:cs="Arial"/>
                <w:b/>
              </w:rPr>
            </w:pPr>
            <w:r w:rsidRPr="001B124B">
              <w:rPr>
                <w:rFonts w:ascii="Arial" w:hAnsi="Arial" w:cs="Arial"/>
                <w:b/>
              </w:rPr>
              <w:t>Work Hours</w:t>
            </w:r>
          </w:p>
        </w:tc>
        <w:tc>
          <w:tcPr>
            <w:tcW w:w="8129" w:type="dxa"/>
          </w:tcPr>
          <w:p w14:paraId="339283A7" w14:textId="6DFFDE69" w:rsidR="001B124B" w:rsidRPr="001B124B" w:rsidRDefault="00EF44BE" w:rsidP="001B124B">
            <w:pPr>
              <w:spacing w:after="200" w:line="276" w:lineRule="auto"/>
              <w:rPr>
                <w:rFonts w:ascii="Arial" w:hAnsi="Arial" w:cs="Arial"/>
              </w:rPr>
            </w:pPr>
            <w:r>
              <w:rPr>
                <w:rFonts w:ascii="Arial" w:hAnsi="Arial" w:cs="Arial"/>
              </w:rPr>
              <w:t>Construction w</w:t>
            </w:r>
            <w:r w:rsidR="001B124B" w:rsidRPr="001B124B">
              <w:rPr>
                <w:rFonts w:ascii="Arial" w:hAnsi="Arial" w:cs="Arial"/>
              </w:rPr>
              <w:t>ork on th</w:t>
            </w:r>
            <w:r>
              <w:rPr>
                <w:rFonts w:ascii="Arial" w:hAnsi="Arial" w:cs="Arial"/>
              </w:rPr>
              <w:t>e</w:t>
            </w:r>
            <w:r w:rsidR="001B124B" w:rsidRPr="001B124B">
              <w:rPr>
                <w:rFonts w:ascii="Arial" w:hAnsi="Arial" w:cs="Arial"/>
              </w:rPr>
              <w:t xml:space="preserve"> project</w:t>
            </w:r>
            <w:r>
              <w:rPr>
                <w:rFonts w:ascii="Arial" w:hAnsi="Arial" w:cs="Arial"/>
              </w:rPr>
              <w:t>s</w:t>
            </w:r>
            <w:r w:rsidR="001B124B" w:rsidRPr="001B124B">
              <w:rPr>
                <w:rFonts w:ascii="Arial" w:hAnsi="Arial" w:cs="Arial"/>
              </w:rPr>
              <w:t xml:space="preserve"> will occur Monday to Friday from 7:00am until 7:00pm. During various operations the contractor will be permitted to work on Saturdays with proper notice. Working on Sundays is not permitted without special permission.</w:t>
            </w:r>
          </w:p>
        </w:tc>
      </w:tr>
      <w:tr w:rsidR="001B124B" w:rsidRPr="001B124B" w14:paraId="435CAA7D" w14:textId="77777777" w:rsidTr="001B124B">
        <w:tc>
          <w:tcPr>
            <w:tcW w:w="1946" w:type="dxa"/>
          </w:tcPr>
          <w:p w14:paraId="7DBA1E32" w14:textId="77777777" w:rsidR="001B124B" w:rsidRPr="001B124B" w:rsidRDefault="001B124B" w:rsidP="001B124B">
            <w:pPr>
              <w:spacing w:after="200" w:line="276" w:lineRule="auto"/>
              <w:rPr>
                <w:rFonts w:ascii="Arial" w:hAnsi="Arial" w:cs="Arial"/>
                <w:b/>
              </w:rPr>
            </w:pPr>
            <w:r w:rsidRPr="001B124B">
              <w:rPr>
                <w:rFonts w:ascii="Arial" w:hAnsi="Arial" w:cs="Arial"/>
                <w:b/>
              </w:rPr>
              <w:t>Traffic Management</w:t>
            </w:r>
          </w:p>
          <w:p w14:paraId="682561BE" w14:textId="77777777" w:rsidR="001B124B" w:rsidRPr="001B124B" w:rsidRDefault="001B124B" w:rsidP="001B124B">
            <w:pPr>
              <w:spacing w:after="200" w:line="276" w:lineRule="auto"/>
              <w:rPr>
                <w:rFonts w:ascii="Arial" w:hAnsi="Arial" w:cs="Arial"/>
                <w:b/>
              </w:rPr>
            </w:pPr>
            <w:r w:rsidRPr="001B124B">
              <w:rPr>
                <w:rFonts w:ascii="Arial" w:hAnsi="Arial" w:cs="Arial"/>
                <w:b/>
              </w:rPr>
              <w:t>Cars and Pedestrians</w:t>
            </w:r>
          </w:p>
        </w:tc>
        <w:tc>
          <w:tcPr>
            <w:tcW w:w="8129" w:type="dxa"/>
          </w:tcPr>
          <w:p w14:paraId="7D23A058" w14:textId="77777777" w:rsidR="001B124B" w:rsidRPr="001B124B" w:rsidRDefault="001B124B" w:rsidP="001B124B">
            <w:pPr>
              <w:spacing w:after="200" w:line="276" w:lineRule="auto"/>
              <w:rPr>
                <w:rFonts w:ascii="Arial" w:hAnsi="Arial" w:cs="Arial"/>
              </w:rPr>
            </w:pPr>
            <w:r w:rsidRPr="001B124B">
              <w:rPr>
                <w:rFonts w:ascii="Arial" w:hAnsi="Arial" w:cs="Arial"/>
              </w:rPr>
              <w:t xml:space="preserve">Traffic will be reduced to one lane using flaggers and/or temporary traffic control lights during construction. </w:t>
            </w:r>
          </w:p>
          <w:p w14:paraId="5ACB4681" w14:textId="77777777" w:rsidR="001B124B" w:rsidRPr="001B124B" w:rsidRDefault="001B124B" w:rsidP="001B124B">
            <w:pPr>
              <w:spacing w:after="200" w:line="276" w:lineRule="auto"/>
              <w:rPr>
                <w:rFonts w:ascii="Arial" w:hAnsi="Arial" w:cs="Arial"/>
              </w:rPr>
            </w:pPr>
            <w:r w:rsidRPr="001B124B">
              <w:rPr>
                <w:rFonts w:ascii="Arial" w:hAnsi="Arial" w:cs="Arial"/>
              </w:rPr>
              <w:t>Motorists are reminded to abide by traffic/construction signs posted in local areas to ensure safe travel of all users including pedestrians and bicycle riders. Every effort will be made to manage traffic and closures for the safety of construction workers, pedestrians and residents. Road users should expect delays travelling through this section for the duration of the project.</w:t>
            </w:r>
          </w:p>
        </w:tc>
      </w:tr>
      <w:tr w:rsidR="001B124B" w:rsidRPr="001B124B" w14:paraId="789E906C" w14:textId="77777777" w:rsidTr="001B124B">
        <w:tc>
          <w:tcPr>
            <w:tcW w:w="1946" w:type="dxa"/>
          </w:tcPr>
          <w:p w14:paraId="55055F44" w14:textId="77777777" w:rsidR="001B124B" w:rsidRPr="001B124B" w:rsidRDefault="001B124B" w:rsidP="001B124B">
            <w:pPr>
              <w:spacing w:after="200" w:line="276" w:lineRule="auto"/>
              <w:rPr>
                <w:rFonts w:ascii="Arial" w:hAnsi="Arial" w:cs="Arial"/>
                <w:b/>
              </w:rPr>
            </w:pPr>
            <w:r w:rsidRPr="001B124B">
              <w:rPr>
                <w:rFonts w:ascii="Arial" w:hAnsi="Arial" w:cs="Arial"/>
                <w:b/>
              </w:rPr>
              <w:t>Parking</w:t>
            </w:r>
          </w:p>
        </w:tc>
        <w:tc>
          <w:tcPr>
            <w:tcW w:w="8129" w:type="dxa"/>
          </w:tcPr>
          <w:p w14:paraId="4A249615" w14:textId="23F4E74D" w:rsidR="001B124B" w:rsidRPr="001B124B" w:rsidRDefault="001B124B" w:rsidP="001B124B">
            <w:pPr>
              <w:spacing w:after="200" w:line="276" w:lineRule="auto"/>
              <w:rPr>
                <w:rFonts w:ascii="Arial" w:hAnsi="Arial" w:cs="Arial"/>
              </w:rPr>
            </w:pPr>
            <w:r w:rsidRPr="001B124B">
              <w:rPr>
                <w:rFonts w:ascii="Arial" w:hAnsi="Arial" w:cs="Arial"/>
              </w:rPr>
              <w:t xml:space="preserve">Parking will not be permitted anywhere on these road locations during active construction work. </w:t>
            </w:r>
            <w:r w:rsidR="00B53BFF">
              <w:rPr>
                <w:rFonts w:ascii="Arial" w:hAnsi="Arial" w:cs="Arial"/>
              </w:rPr>
              <w:t>When needed, t</w:t>
            </w:r>
            <w:r w:rsidRPr="001B124B">
              <w:rPr>
                <w:rFonts w:ascii="Arial" w:hAnsi="Arial" w:cs="Arial"/>
              </w:rPr>
              <w:t>emporary parking arrangements will be provided by the contractor to those residents who cannot enter their driveway due to location of underground and above ground infrastructure</w:t>
            </w:r>
            <w:r w:rsidR="00B53BFF">
              <w:rPr>
                <w:rFonts w:ascii="Arial" w:hAnsi="Arial" w:cs="Arial"/>
              </w:rPr>
              <w:t xml:space="preserve"> construction</w:t>
            </w:r>
            <w:r w:rsidRPr="001B124B">
              <w:rPr>
                <w:rFonts w:ascii="Arial" w:hAnsi="Arial" w:cs="Arial"/>
              </w:rPr>
              <w:t>.</w:t>
            </w:r>
          </w:p>
        </w:tc>
      </w:tr>
      <w:tr w:rsidR="001B124B" w:rsidRPr="001B124B" w14:paraId="4FA19230" w14:textId="77777777" w:rsidTr="001B124B">
        <w:tc>
          <w:tcPr>
            <w:tcW w:w="1946" w:type="dxa"/>
          </w:tcPr>
          <w:p w14:paraId="7617758B" w14:textId="77777777" w:rsidR="001B124B" w:rsidRPr="001B124B" w:rsidRDefault="001B124B" w:rsidP="001B124B">
            <w:pPr>
              <w:spacing w:after="200" w:line="276" w:lineRule="auto"/>
              <w:rPr>
                <w:rFonts w:ascii="Arial" w:hAnsi="Arial" w:cs="Arial"/>
                <w:b/>
              </w:rPr>
            </w:pPr>
            <w:r w:rsidRPr="001B124B">
              <w:rPr>
                <w:rFonts w:ascii="Arial" w:hAnsi="Arial" w:cs="Arial"/>
                <w:b/>
              </w:rPr>
              <w:t>Pedestrians</w:t>
            </w:r>
          </w:p>
        </w:tc>
        <w:tc>
          <w:tcPr>
            <w:tcW w:w="8129" w:type="dxa"/>
          </w:tcPr>
          <w:p w14:paraId="7D054E80" w14:textId="21ECC829" w:rsidR="001B124B" w:rsidRPr="001B124B" w:rsidRDefault="001B124B" w:rsidP="001B124B">
            <w:pPr>
              <w:spacing w:after="200" w:line="276" w:lineRule="auto"/>
              <w:rPr>
                <w:rFonts w:ascii="Arial" w:hAnsi="Arial" w:cs="Arial"/>
              </w:rPr>
            </w:pPr>
            <w:r w:rsidRPr="001B124B">
              <w:rPr>
                <w:rFonts w:ascii="Arial" w:hAnsi="Arial" w:cs="Arial"/>
              </w:rPr>
              <w:t xml:space="preserve">Pedestrians are encouraged to travel along the edges of the right-of-way and designated areas provided by the contractor. </w:t>
            </w:r>
          </w:p>
        </w:tc>
      </w:tr>
      <w:tr w:rsidR="001B124B" w:rsidRPr="001B124B" w14:paraId="244C4182" w14:textId="77777777" w:rsidTr="001B124B">
        <w:tc>
          <w:tcPr>
            <w:tcW w:w="1946" w:type="dxa"/>
          </w:tcPr>
          <w:p w14:paraId="047227DD" w14:textId="77777777" w:rsidR="001B124B" w:rsidRPr="001B124B" w:rsidRDefault="001B124B" w:rsidP="001B124B">
            <w:pPr>
              <w:spacing w:after="200" w:line="276" w:lineRule="auto"/>
              <w:rPr>
                <w:rFonts w:ascii="Arial" w:hAnsi="Arial" w:cs="Arial"/>
                <w:b/>
              </w:rPr>
            </w:pPr>
            <w:r w:rsidRPr="001B124B">
              <w:rPr>
                <w:rFonts w:ascii="Arial" w:hAnsi="Arial" w:cs="Arial"/>
                <w:b/>
              </w:rPr>
              <w:t>Deliveries</w:t>
            </w:r>
          </w:p>
        </w:tc>
        <w:tc>
          <w:tcPr>
            <w:tcW w:w="8129" w:type="dxa"/>
          </w:tcPr>
          <w:p w14:paraId="2A6FF665" w14:textId="77777777" w:rsidR="001B124B" w:rsidRPr="001B124B" w:rsidRDefault="001B124B" w:rsidP="001B124B">
            <w:pPr>
              <w:spacing w:after="200" w:line="276" w:lineRule="auto"/>
              <w:rPr>
                <w:rFonts w:ascii="Arial" w:hAnsi="Arial" w:cs="Arial"/>
              </w:rPr>
            </w:pPr>
            <w:r w:rsidRPr="001B124B">
              <w:rPr>
                <w:rFonts w:ascii="Arial" w:hAnsi="Arial" w:cs="Arial"/>
              </w:rPr>
              <w:t>Deliveries may occur during construction using local access but may not always be possible due to the location of installing infrastructure. The Contractor will make every effort to assist with delivery of your packages.</w:t>
            </w:r>
          </w:p>
        </w:tc>
      </w:tr>
      <w:tr w:rsidR="001B124B" w:rsidRPr="001B124B" w14:paraId="62EC9C88" w14:textId="77777777" w:rsidTr="001B124B">
        <w:tc>
          <w:tcPr>
            <w:tcW w:w="1946" w:type="dxa"/>
          </w:tcPr>
          <w:p w14:paraId="1C79D047" w14:textId="77777777" w:rsidR="001B124B" w:rsidRPr="001B124B" w:rsidRDefault="001B124B" w:rsidP="001B124B">
            <w:pPr>
              <w:spacing w:after="200" w:line="276" w:lineRule="auto"/>
              <w:rPr>
                <w:rFonts w:ascii="Arial" w:hAnsi="Arial" w:cs="Arial"/>
                <w:b/>
              </w:rPr>
            </w:pPr>
            <w:r w:rsidRPr="001B124B">
              <w:rPr>
                <w:rFonts w:ascii="Arial" w:hAnsi="Arial" w:cs="Arial"/>
                <w:b/>
              </w:rPr>
              <w:t>Residents</w:t>
            </w:r>
          </w:p>
        </w:tc>
        <w:tc>
          <w:tcPr>
            <w:tcW w:w="8129" w:type="dxa"/>
          </w:tcPr>
          <w:p w14:paraId="0837E22D" w14:textId="088C16C9" w:rsidR="001B124B" w:rsidRPr="001B124B" w:rsidRDefault="001B124B" w:rsidP="001B124B">
            <w:pPr>
              <w:spacing w:after="200" w:line="276" w:lineRule="auto"/>
              <w:rPr>
                <w:rFonts w:ascii="Arial" w:hAnsi="Arial" w:cs="Arial"/>
              </w:rPr>
            </w:pPr>
            <w:r w:rsidRPr="001B124B">
              <w:rPr>
                <w:rFonts w:ascii="Arial" w:hAnsi="Arial" w:cs="Arial"/>
              </w:rPr>
              <w:t xml:space="preserve">Residents along each road section indicated will have access to their property at all times except when various restrictions occur (construction of various infrastructures in the area of their property driveway – i.e. </w:t>
            </w:r>
            <w:r w:rsidR="00F50DE6">
              <w:rPr>
                <w:rFonts w:ascii="Arial" w:hAnsi="Arial" w:cs="Arial"/>
              </w:rPr>
              <w:t>paving</w:t>
            </w:r>
            <w:r w:rsidRPr="001B124B">
              <w:rPr>
                <w:rFonts w:ascii="Arial" w:hAnsi="Arial" w:cs="Arial"/>
              </w:rPr>
              <w:t xml:space="preserve"> and sidewalk pouring). The Contractor will assist with picking up your garbage and recyclables placed in front of the residence and delivering to the collection agency on the day of normal schedule pick-up. </w:t>
            </w:r>
          </w:p>
        </w:tc>
      </w:tr>
      <w:tr w:rsidR="001B124B" w:rsidRPr="001B124B" w14:paraId="146BABF1" w14:textId="77777777" w:rsidTr="001B124B">
        <w:tc>
          <w:tcPr>
            <w:tcW w:w="1946" w:type="dxa"/>
          </w:tcPr>
          <w:p w14:paraId="2A3DF27C" w14:textId="77777777" w:rsidR="001B124B" w:rsidRPr="001B124B" w:rsidRDefault="001B124B" w:rsidP="001B124B">
            <w:pPr>
              <w:spacing w:after="200" w:line="276" w:lineRule="auto"/>
              <w:rPr>
                <w:rFonts w:ascii="Arial" w:hAnsi="Arial" w:cs="Arial"/>
                <w:b/>
              </w:rPr>
            </w:pPr>
            <w:r w:rsidRPr="001B124B">
              <w:rPr>
                <w:rFonts w:ascii="Arial" w:hAnsi="Arial" w:cs="Arial"/>
                <w:b/>
              </w:rPr>
              <w:t>Businesses</w:t>
            </w:r>
          </w:p>
        </w:tc>
        <w:tc>
          <w:tcPr>
            <w:tcW w:w="8129" w:type="dxa"/>
          </w:tcPr>
          <w:p w14:paraId="258C5A29" w14:textId="5A92ED2C" w:rsidR="001B124B" w:rsidRPr="001B124B" w:rsidRDefault="001B124B" w:rsidP="001B124B">
            <w:pPr>
              <w:spacing w:after="200" w:line="276" w:lineRule="auto"/>
              <w:rPr>
                <w:rFonts w:ascii="Arial" w:hAnsi="Arial" w:cs="Arial"/>
              </w:rPr>
            </w:pPr>
            <w:r w:rsidRPr="001B124B">
              <w:rPr>
                <w:rFonts w:ascii="Arial" w:hAnsi="Arial" w:cs="Arial"/>
              </w:rPr>
              <w:t xml:space="preserve">All businesses’ access will remain open during the construction </w:t>
            </w:r>
            <w:r w:rsidR="00F50DE6">
              <w:rPr>
                <w:rFonts w:ascii="Arial" w:hAnsi="Arial" w:cs="Arial"/>
              </w:rPr>
              <w:t xml:space="preserve">and where necessary, </w:t>
            </w:r>
            <w:r w:rsidRPr="001B124B">
              <w:rPr>
                <w:rFonts w:ascii="Arial" w:hAnsi="Arial" w:cs="Arial"/>
              </w:rPr>
              <w:t xml:space="preserve">signage </w:t>
            </w:r>
            <w:r w:rsidR="00F50DE6">
              <w:rPr>
                <w:rFonts w:ascii="Arial" w:hAnsi="Arial" w:cs="Arial"/>
              </w:rPr>
              <w:t xml:space="preserve">may </w:t>
            </w:r>
            <w:r w:rsidR="00D42F64">
              <w:rPr>
                <w:rFonts w:ascii="Arial" w:hAnsi="Arial" w:cs="Arial"/>
              </w:rPr>
              <w:t xml:space="preserve">be </w:t>
            </w:r>
            <w:r w:rsidRPr="001B124B">
              <w:rPr>
                <w:rFonts w:ascii="Arial" w:hAnsi="Arial" w:cs="Arial"/>
              </w:rPr>
              <w:t>placed at both the ends of the construction limits. The Contractor will assist with picking up your garbage and recyclables placed in front of the business and delivering to the collection agency on the day of normal schedule pick-up.</w:t>
            </w:r>
          </w:p>
        </w:tc>
      </w:tr>
    </w:tbl>
    <w:p w14:paraId="058E21C7" w14:textId="77777777" w:rsidR="002A5227" w:rsidRDefault="002A5227" w:rsidP="00231FC6">
      <w:pPr>
        <w:spacing w:after="0" w:line="240" w:lineRule="auto"/>
        <w:rPr>
          <w:rStyle w:val="Hyperlink"/>
          <w:rFonts w:ascii="Arial" w:hAnsi="Arial" w:cs="Arial"/>
        </w:rPr>
      </w:pPr>
    </w:p>
    <w:p w14:paraId="29A097E0" w14:textId="77777777" w:rsidR="002A5227" w:rsidRDefault="002A5227" w:rsidP="00231FC6">
      <w:pPr>
        <w:spacing w:after="0" w:line="240" w:lineRule="auto"/>
        <w:rPr>
          <w:rStyle w:val="Hyperlink"/>
          <w:rFonts w:ascii="Arial" w:hAnsi="Arial" w:cs="Arial"/>
        </w:rPr>
      </w:pPr>
    </w:p>
    <w:p w14:paraId="10EF22ED" w14:textId="77777777" w:rsidR="002A5227" w:rsidRDefault="002A5227" w:rsidP="00231FC6">
      <w:pPr>
        <w:spacing w:after="0" w:line="240" w:lineRule="auto"/>
        <w:rPr>
          <w:rStyle w:val="Hyperlink"/>
          <w:rFonts w:ascii="Arial" w:hAnsi="Arial" w:cs="Arial"/>
        </w:rPr>
      </w:pPr>
    </w:p>
    <w:p w14:paraId="411B9A91" w14:textId="77777777" w:rsidR="002A5227" w:rsidRPr="00231FC6" w:rsidRDefault="002A5227" w:rsidP="00231FC6">
      <w:pPr>
        <w:spacing w:after="0" w:line="240" w:lineRule="auto"/>
        <w:rPr>
          <w:rFonts w:ascii="Arial" w:hAnsi="Arial" w:cs="Arial"/>
        </w:rPr>
      </w:pPr>
    </w:p>
    <w:sectPr w:rsidR="002A5227" w:rsidRPr="00231FC6" w:rsidSect="00582702">
      <w:head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F713" w14:textId="77777777" w:rsidR="005379EF" w:rsidRDefault="005379EF" w:rsidP="00DF549F">
      <w:pPr>
        <w:spacing w:after="0" w:line="240" w:lineRule="auto"/>
      </w:pPr>
      <w:r>
        <w:separator/>
      </w:r>
    </w:p>
  </w:endnote>
  <w:endnote w:type="continuationSeparator" w:id="0">
    <w:p w14:paraId="52BA3693" w14:textId="77777777" w:rsidR="005379EF" w:rsidRDefault="005379EF" w:rsidP="00DF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FB885" w14:textId="77777777" w:rsidR="005379EF" w:rsidRDefault="005379EF" w:rsidP="00DF549F">
      <w:pPr>
        <w:spacing w:after="0" w:line="240" w:lineRule="auto"/>
      </w:pPr>
      <w:r>
        <w:separator/>
      </w:r>
    </w:p>
  </w:footnote>
  <w:footnote w:type="continuationSeparator" w:id="0">
    <w:p w14:paraId="757DB0DD" w14:textId="77777777" w:rsidR="005379EF" w:rsidRDefault="005379EF" w:rsidP="00DF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83C8" w14:textId="2810CCE4" w:rsidR="009569AD" w:rsidRDefault="00F36B79" w:rsidP="009569AD">
    <w:pPr>
      <w:spacing w:after="120"/>
      <w:jc w:val="center"/>
      <w:rPr>
        <w:rFonts w:ascii="Arial" w:hAnsi="Arial" w:cs="Arial"/>
        <w:b/>
        <w:sz w:val="32"/>
        <w:szCs w:val="32"/>
      </w:rPr>
    </w:pPr>
    <w:r>
      <w:rPr>
        <w:noProof/>
        <w:lang w:eastAsia="en-CA"/>
      </w:rPr>
      <w:drawing>
        <wp:inline distT="0" distB="0" distL="0" distR="0" wp14:anchorId="45CFC575" wp14:editId="4ED6E6C1">
          <wp:extent cx="1981200" cy="91232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B-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5738" cy="914417"/>
                  </a:xfrm>
                  <a:prstGeom prst="rect">
                    <a:avLst/>
                  </a:prstGeom>
                </pic:spPr>
              </pic:pic>
            </a:graphicData>
          </a:graphic>
        </wp:inline>
      </w:drawing>
    </w:r>
    <w:r w:rsidR="004B758C">
      <w:tab/>
    </w:r>
    <w:r w:rsidR="004B758C">
      <w:tab/>
      <w:t xml:space="preserve">        </w:t>
    </w:r>
    <w:r w:rsidR="00863478">
      <w:t xml:space="preserve">                                                </w:t>
    </w:r>
    <w:r w:rsidR="009569AD">
      <w:rPr>
        <w:rFonts w:ascii="Arial" w:hAnsi="Arial" w:cs="Arial"/>
        <w:b/>
        <w:sz w:val="32"/>
        <w:szCs w:val="32"/>
      </w:rPr>
      <w:t>Sidewalk Program</w:t>
    </w:r>
  </w:p>
  <w:p w14:paraId="758C075F" w14:textId="77777777" w:rsidR="00A13DD6" w:rsidRPr="002961A6" w:rsidRDefault="00A13DD6" w:rsidP="00296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EF9"/>
    <w:multiLevelType w:val="hybridMultilevel"/>
    <w:tmpl w:val="073CF68C"/>
    <w:lvl w:ilvl="0" w:tplc="356E14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F289E"/>
    <w:multiLevelType w:val="hybridMultilevel"/>
    <w:tmpl w:val="432683AC"/>
    <w:lvl w:ilvl="0" w:tplc="83524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12221"/>
    <w:multiLevelType w:val="hybridMultilevel"/>
    <w:tmpl w:val="807C8948"/>
    <w:lvl w:ilvl="0" w:tplc="50C025E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767B53"/>
    <w:multiLevelType w:val="hybridMultilevel"/>
    <w:tmpl w:val="D004DA68"/>
    <w:lvl w:ilvl="0" w:tplc="7D66106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357393"/>
    <w:multiLevelType w:val="hybridMultilevel"/>
    <w:tmpl w:val="6290C476"/>
    <w:lvl w:ilvl="0" w:tplc="7D66106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820311"/>
    <w:multiLevelType w:val="hybridMultilevel"/>
    <w:tmpl w:val="BB6835E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222F1420"/>
    <w:multiLevelType w:val="multilevel"/>
    <w:tmpl w:val="A276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3186F"/>
    <w:multiLevelType w:val="hybridMultilevel"/>
    <w:tmpl w:val="255EEA96"/>
    <w:lvl w:ilvl="0" w:tplc="7D66106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AB4C24"/>
    <w:multiLevelType w:val="hybridMultilevel"/>
    <w:tmpl w:val="18746E3E"/>
    <w:lvl w:ilvl="0" w:tplc="7D661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410DA"/>
    <w:multiLevelType w:val="hybridMultilevel"/>
    <w:tmpl w:val="42761F10"/>
    <w:lvl w:ilvl="0" w:tplc="7D661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141E8"/>
    <w:multiLevelType w:val="hybridMultilevel"/>
    <w:tmpl w:val="674A1F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91E3486"/>
    <w:multiLevelType w:val="hybridMultilevel"/>
    <w:tmpl w:val="25DCCA5C"/>
    <w:lvl w:ilvl="0" w:tplc="7D661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260D"/>
    <w:multiLevelType w:val="hybridMultilevel"/>
    <w:tmpl w:val="726AC958"/>
    <w:lvl w:ilvl="0" w:tplc="7D661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292321">
    <w:abstractNumId w:val="1"/>
  </w:num>
  <w:num w:numId="2" w16cid:durableId="1056315040">
    <w:abstractNumId w:val="0"/>
  </w:num>
  <w:num w:numId="3" w16cid:durableId="302395417">
    <w:abstractNumId w:val="11"/>
  </w:num>
  <w:num w:numId="4" w16cid:durableId="356470123">
    <w:abstractNumId w:val="3"/>
  </w:num>
  <w:num w:numId="5" w16cid:durableId="919216744">
    <w:abstractNumId w:val="4"/>
  </w:num>
  <w:num w:numId="6" w16cid:durableId="1958442921">
    <w:abstractNumId w:val="8"/>
  </w:num>
  <w:num w:numId="7" w16cid:durableId="1619994576">
    <w:abstractNumId w:val="7"/>
  </w:num>
  <w:num w:numId="8" w16cid:durableId="1838613146">
    <w:abstractNumId w:val="9"/>
  </w:num>
  <w:num w:numId="9" w16cid:durableId="1752267003">
    <w:abstractNumId w:val="12"/>
  </w:num>
  <w:num w:numId="10" w16cid:durableId="677387132">
    <w:abstractNumId w:val="2"/>
  </w:num>
  <w:num w:numId="11" w16cid:durableId="800078528">
    <w:abstractNumId w:val="10"/>
  </w:num>
  <w:num w:numId="12" w16cid:durableId="484858058">
    <w:abstractNumId w:val="5"/>
  </w:num>
  <w:num w:numId="13" w16cid:durableId="1652711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20"/>
    <w:rsid w:val="00000EA5"/>
    <w:rsid w:val="00012603"/>
    <w:rsid w:val="0002558C"/>
    <w:rsid w:val="00026B1B"/>
    <w:rsid w:val="00027A96"/>
    <w:rsid w:val="0004769B"/>
    <w:rsid w:val="00053323"/>
    <w:rsid w:val="0006161E"/>
    <w:rsid w:val="000618C4"/>
    <w:rsid w:val="00085E3E"/>
    <w:rsid w:val="00086215"/>
    <w:rsid w:val="0009376C"/>
    <w:rsid w:val="0009519C"/>
    <w:rsid w:val="00095F7C"/>
    <w:rsid w:val="000A037B"/>
    <w:rsid w:val="000A4AC2"/>
    <w:rsid w:val="000A510A"/>
    <w:rsid w:val="000D1E54"/>
    <w:rsid w:val="000E6770"/>
    <w:rsid w:val="000F4E63"/>
    <w:rsid w:val="000F5253"/>
    <w:rsid w:val="00113667"/>
    <w:rsid w:val="00141274"/>
    <w:rsid w:val="00141A16"/>
    <w:rsid w:val="001662AA"/>
    <w:rsid w:val="00185E93"/>
    <w:rsid w:val="00186914"/>
    <w:rsid w:val="00193ADB"/>
    <w:rsid w:val="001970B0"/>
    <w:rsid w:val="001A3BD8"/>
    <w:rsid w:val="001B0A24"/>
    <w:rsid w:val="001B124B"/>
    <w:rsid w:val="001B1A0A"/>
    <w:rsid w:val="001B550D"/>
    <w:rsid w:val="001D517C"/>
    <w:rsid w:val="001E2B80"/>
    <w:rsid w:val="001E3850"/>
    <w:rsid w:val="001F0223"/>
    <w:rsid w:val="002008A1"/>
    <w:rsid w:val="0020712B"/>
    <w:rsid w:val="00211C49"/>
    <w:rsid w:val="0022419C"/>
    <w:rsid w:val="00231FC6"/>
    <w:rsid w:val="00240ABA"/>
    <w:rsid w:val="0024729C"/>
    <w:rsid w:val="00264D9C"/>
    <w:rsid w:val="00276606"/>
    <w:rsid w:val="002961A6"/>
    <w:rsid w:val="002A5227"/>
    <w:rsid w:val="002D35B0"/>
    <w:rsid w:val="002D7B05"/>
    <w:rsid w:val="002F0586"/>
    <w:rsid w:val="002F2BB1"/>
    <w:rsid w:val="002F7D49"/>
    <w:rsid w:val="003148C4"/>
    <w:rsid w:val="003457E0"/>
    <w:rsid w:val="00346DE7"/>
    <w:rsid w:val="003641C0"/>
    <w:rsid w:val="00365974"/>
    <w:rsid w:val="0037644A"/>
    <w:rsid w:val="00396EBD"/>
    <w:rsid w:val="003B6CC3"/>
    <w:rsid w:val="003E1A85"/>
    <w:rsid w:val="003F435C"/>
    <w:rsid w:val="003F4CE6"/>
    <w:rsid w:val="00403047"/>
    <w:rsid w:val="00403B8D"/>
    <w:rsid w:val="0041392C"/>
    <w:rsid w:val="004408B8"/>
    <w:rsid w:val="00451BA5"/>
    <w:rsid w:val="00454E7C"/>
    <w:rsid w:val="004638E5"/>
    <w:rsid w:val="0046459B"/>
    <w:rsid w:val="00467A08"/>
    <w:rsid w:val="0047449E"/>
    <w:rsid w:val="004852BC"/>
    <w:rsid w:val="004902F8"/>
    <w:rsid w:val="004A6A40"/>
    <w:rsid w:val="004B3E25"/>
    <w:rsid w:val="004B671B"/>
    <w:rsid w:val="004B758C"/>
    <w:rsid w:val="004C1969"/>
    <w:rsid w:val="004C47AD"/>
    <w:rsid w:val="004C7753"/>
    <w:rsid w:val="004D2AB0"/>
    <w:rsid w:val="004F24D3"/>
    <w:rsid w:val="005030D1"/>
    <w:rsid w:val="005033B6"/>
    <w:rsid w:val="005038C3"/>
    <w:rsid w:val="00511467"/>
    <w:rsid w:val="00512047"/>
    <w:rsid w:val="00526F40"/>
    <w:rsid w:val="0052754A"/>
    <w:rsid w:val="00532FA0"/>
    <w:rsid w:val="00535CA7"/>
    <w:rsid w:val="00536A53"/>
    <w:rsid w:val="005379EF"/>
    <w:rsid w:val="005434BD"/>
    <w:rsid w:val="0055538A"/>
    <w:rsid w:val="00562B31"/>
    <w:rsid w:val="00566186"/>
    <w:rsid w:val="00571C85"/>
    <w:rsid w:val="005722A2"/>
    <w:rsid w:val="0057316E"/>
    <w:rsid w:val="00574866"/>
    <w:rsid w:val="00582702"/>
    <w:rsid w:val="00587B1F"/>
    <w:rsid w:val="00587DDD"/>
    <w:rsid w:val="005A35F3"/>
    <w:rsid w:val="005C780C"/>
    <w:rsid w:val="005C7C88"/>
    <w:rsid w:val="005D4424"/>
    <w:rsid w:val="005D71DB"/>
    <w:rsid w:val="005E535E"/>
    <w:rsid w:val="00606AC9"/>
    <w:rsid w:val="00614E29"/>
    <w:rsid w:val="00642327"/>
    <w:rsid w:val="00655D6D"/>
    <w:rsid w:val="00683D5C"/>
    <w:rsid w:val="00687FDF"/>
    <w:rsid w:val="006947C5"/>
    <w:rsid w:val="006B141B"/>
    <w:rsid w:val="006B496F"/>
    <w:rsid w:val="006E1E84"/>
    <w:rsid w:val="006E6DC9"/>
    <w:rsid w:val="006E7A1B"/>
    <w:rsid w:val="006F02F3"/>
    <w:rsid w:val="006F6221"/>
    <w:rsid w:val="006F68EA"/>
    <w:rsid w:val="00714486"/>
    <w:rsid w:val="00717D1E"/>
    <w:rsid w:val="00717E30"/>
    <w:rsid w:val="0073010A"/>
    <w:rsid w:val="007352A1"/>
    <w:rsid w:val="00755979"/>
    <w:rsid w:val="00756EEA"/>
    <w:rsid w:val="00767148"/>
    <w:rsid w:val="007B721F"/>
    <w:rsid w:val="007B78C5"/>
    <w:rsid w:val="007C68CD"/>
    <w:rsid w:val="007D5E4D"/>
    <w:rsid w:val="007E43DE"/>
    <w:rsid w:val="00813D7B"/>
    <w:rsid w:val="008232E8"/>
    <w:rsid w:val="00830D59"/>
    <w:rsid w:val="00835638"/>
    <w:rsid w:val="00843AC3"/>
    <w:rsid w:val="008500A2"/>
    <w:rsid w:val="00857894"/>
    <w:rsid w:val="00861C25"/>
    <w:rsid w:val="00863478"/>
    <w:rsid w:val="0086703A"/>
    <w:rsid w:val="008722C2"/>
    <w:rsid w:val="00873AB0"/>
    <w:rsid w:val="008800CD"/>
    <w:rsid w:val="00880FDD"/>
    <w:rsid w:val="008837BC"/>
    <w:rsid w:val="00883D82"/>
    <w:rsid w:val="00886432"/>
    <w:rsid w:val="008A2B19"/>
    <w:rsid w:val="008B2F84"/>
    <w:rsid w:val="008C4B06"/>
    <w:rsid w:val="008D69DB"/>
    <w:rsid w:val="008E7E0C"/>
    <w:rsid w:val="008F149E"/>
    <w:rsid w:val="008F4D7B"/>
    <w:rsid w:val="008F775B"/>
    <w:rsid w:val="00913575"/>
    <w:rsid w:val="00914451"/>
    <w:rsid w:val="00927870"/>
    <w:rsid w:val="00930C31"/>
    <w:rsid w:val="00944E83"/>
    <w:rsid w:val="00953D67"/>
    <w:rsid w:val="00955D59"/>
    <w:rsid w:val="009569AD"/>
    <w:rsid w:val="00965325"/>
    <w:rsid w:val="0097040C"/>
    <w:rsid w:val="0097195D"/>
    <w:rsid w:val="009837B9"/>
    <w:rsid w:val="00993A2E"/>
    <w:rsid w:val="00996FF1"/>
    <w:rsid w:val="009A3DD4"/>
    <w:rsid w:val="009B1443"/>
    <w:rsid w:val="009B28DD"/>
    <w:rsid w:val="009C303A"/>
    <w:rsid w:val="009D03DC"/>
    <w:rsid w:val="009E0A4F"/>
    <w:rsid w:val="009F7863"/>
    <w:rsid w:val="00A021EA"/>
    <w:rsid w:val="00A0289D"/>
    <w:rsid w:val="00A02B4C"/>
    <w:rsid w:val="00A136D5"/>
    <w:rsid w:val="00A13DD6"/>
    <w:rsid w:val="00A17B32"/>
    <w:rsid w:val="00A35D51"/>
    <w:rsid w:val="00A47C03"/>
    <w:rsid w:val="00A52CC3"/>
    <w:rsid w:val="00A546E8"/>
    <w:rsid w:val="00A55178"/>
    <w:rsid w:val="00A5670C"/>
    <w:rsid w:val="00A6168E"/>
    <w:rsid w:val="00A71836"/>
    <w:rsid w:val="00AA08E1"/>
    <w:rsid w:val="00AA2A73"/>
    <w:rsid w:val="00AB25DE"/>
    <w:rsid w:val="00AB2E61"/>
    <w:rsid w:val="00AB5572"/>
    <w:rsid w:val="00AC24C2"/>
    <w:rsid w:val="00AC6A39"/>
    <w:rsid w:val="00AD48C7"/>
    <w:rsid w:val="00AD58DC"/>
    <w:rsid w:val="00AE31B7"/>
    <w:rsid w:val="00AE3AC8"/>
    <w:rsid w:val="00B02D92"/>
    <w:rsid w:val="00B03BB6"/>
    <w:rsid w:val="00B22B14"/>
    <w:rsid w:val="00B3119F"/>
    <w:rsid w:val="00B36387"/>
    <w:rsid w:val="00B36BCE"/>
    <w:rsid w:val="00B41288"/>
    <w:rsid w:val="00B512EE"/>
    <w:rsid w:val="00B53BFF"/>
    <w:rsid w:val="00B54E4E"/>
    <w:rsid w:val="00BC754C"/>
    <w:rsid w:val="00BC787A"/>
    <w:rsid w:val="00BE1D51"/>
    <w:rsid w:val="00BF238F"/>
    <w:rsid w:val="00C01814"/>
    <w:rsid w:val="00C11805"/>
    <w:rsid w:val="00C1445E"/>
    <w:rsid w:val="00C2011E"/>
    <w:rsid w:val="00C2264A"/>
    <w:rsid w:val="00C24A16"/>
    <w:rsid w:val="00C34700"/>
    <w:rsid w:val="00C35834"/>
    <w:rsid w:val="00C3683F"/>
    <w:rsid w:val="00C6749F"/>
    <w:rsid w:val="00C725E8"/>
    <w:rsid w:val="00CA3551"/>
    <w:rsid w:val="00CC162E"/>
    <w:rsid w:val="00CD1E20"/>
    <w:rsid w:val="00CD422A"/>
    <w:rsid w:val="00CD6D02"/>
    <w:rsid w:val="00CE60C5"/>
    <w:rsid w:val="00D12FF8"/>
    <w:rsid w:val="00D13A99"/>
    <w:rsid w:val="00D238D0"/>
    <w:rsid w:val="00D3602A"/>
    <w:rsid w:val="00D42F64"/>
    <w:rsid w:val="00D449B6"/>
    <w:rsid w:val="00D55EE4"/>
    <w:rsid w:val="00D564D6"/>
    <w:rsid w:val="00D61965"/>
    <w:rsid w:val="00D62D4A"/>
    <w:rsid w:val="00D9136C"/>
    <w:rsid w:val="00D97C46"/>
    <w:rsid w:val="00DA549A"/>
    <w:rsid w:val="00DC477B"/>
    <w:rsid w:val="00DE1772"/>
    <w:rsid w:val="00DE2D96"/>
    <w:rsid w:val="00DF19F8"/>
    <w:rsid w:val="00DF4F47"/>
    <w:rsid w:val="00DF549F"/>
    <w:rsid w:val="00DF68D1"/>
    <w:rsid w:val="00E1728B"/>
    <w:rsid w:val="00E72B3D"/>
    <w:rsid w:val="00E772E9"/>
    <w:rsid w:val="00E77320"/>
    <w:rsid w:val="00E83068"/>
    <w:rsid w:val="00EA046B"/>
    <w:rsid w:val="00EA2A6C"/>
    <w:rsid w:val="00EC34E1"/>
    <w:rsid w:val="00EC3DF4"/>
    <w:rsid w:val="00EC64F8"/>
    <w:rsid w:val="00ED3505"/>
    <w:rsid w:val="00EF44BE"/>
    <w:rsid w:val="00F02708"/>
    <w:rsid w:val="00F04432"/>
    <w:rsid w:val="00F11ACB"/>
    <w:rsid w:val="00F157EB"/>
    <w:rsid w:val="00F22D0B"/>
    <w:rsid w:val="00F30FB7"/>
    <w:rsid w:val="00F36B79"/>
    <w:rsid w:val="00F372CF"/>
    <w:rsid w:val="00F4268D"/>
    <w:rsid w:val="00F43132"/>
    <w:rsid w:val="00F50DE6"/>
    <w:rsid w:val="00F51B87"/>
    <w:rsid w:val="00F6324E"/>
    <w:rsid w:val="00F753FC"/>
    <w:rsid w:val="00F844D3"/>
    <w:rsid w:val="00F95E32"/>
    <w:rsid w:val="00FA07BB"/>
    <w:rsid w:val="00FB003D"/>
    <w:rsid w:val="00FC3C1E"/>
    <w:rsid w:val="00FC3EE8"/>
    <w:rsid w:val="00FC4A3D"/>
    <w:rsid w:val="00FD1182"/>
    <w:rsid w:val="00FD5BD5"/>
    <w:rsid w:val="00FE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C0B8C"/>
  <w15:docId w15:val="{B2DEF2D8-261F-425B-97D4-82F93B46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DC"/>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D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F5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49F"/>
  </w:style>
  <w:style w:type="paragraph" w:styleId="Footer">
    <w:name w:val="footer"/>
    <w:basedOn w:val="Normal"/>
    <w:link w:val="FooterChar"/>
    <w:uiPriority w:val="99"/>
    <w:unhideWhenUsed/>
    <w:rsid w:val="00DF5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49F"/>
  </w:style>
  <w:style w:type="paragraph" w:styleId="BalloonText">
    <w:name w:val="Balloon Text"/>
    <w:basedOn w:val="Normal"/>
    <w:link w:val="BalloonTextChar"/>
    <w:uiPriority w:val="99"/>
    <w:semiHidden/>
    <w:unhideWhenUsed/>
    <w:rsid w:val="00DF5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49F"/>
    <w:rPr>
      <w:rFonts w:ascii="Tahoma" w:hAnsi="Tahoma" w:cs="Tahoma"/>
      <w:sz w:val="16"/>
      <w:szCs w:val="16"/>
    </w:rPr>
  </w:style>
  <w:style w:type="paragraph" w:customStyle="1" w:styleId="Default">
    <w:name w:val="Default"/>
    <w:rsid w:val="00DF549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55D6D"/>
    <w:rPr>
      <w:color w:val="0000FF" w:themeColor="hyperlink"/>
      <w:u w:val="single"/>
    </w:rPr>
  </w:style>
  <w:style w:type="table" w:styleId="TableGrid">
    <w:name w:val="Table Grid"/>
    <w:basedOn w:val="TableNormal"/>
    <w:uiPriority w:val="59"/>
    <w:rsid w:val="00A0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0289D"/>
  </w:style>
  <w:style w:type="paragraph" w:styleId="ListParagraph">
    <w:name w:val="List Paragraph"/>
    <w:basedOn w:val="Normal"/>
    <w:uiPriority w:val="34"/>
    <w:qFormat/>
    <w:rsid w:val="00571C85"/>
    <w:pPr>
      <w:ind w:left="720"/>
      <w:contextualSpacing/>
    </w:pPr>
  </w:style>
  <w:style w:type="paragraph" w:styleId="PlainText">
    <w:name w:val="Plain Text"/>
    <w:basedOn w:val="Normal"/>
    <w:link w:val="PlainTextChar"/>
    <w:uiPriority w:val="99"/>
    <w:semiHidden/>
    <w:unhideWhenUsed/>
    <w:rsid w:val="009D03D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9D03DC"/>
    <w:rPr>
      <w:rFonts w:ascii="Calibri" w:hAnsi="Calibri"/>
      <w:szCs w:val="21"/>
    </w:rPr>
  </w:style>
  <w:style w:type="character" w:styleId="Strong">
    <w:name w:val="Strong"/>
    <w:basedOn w:val="DefaultParagraphFont"/>
    <w:uiPriority w:val="22"/>
    <w:qFormat/>
    <w:rsid w:val="00FD1182"/>
    <w:rPr>
      <w:b/>
      <w:bCs/>
    </w:rPr>
  </w:style>
  <w:style w:type="paragraph" w:customStyle="1" w:styleId="articleparagraph">
    <w:name w:val="article__paragraph"/>
    <w:basedOn w:val="Normal"/>
    <w:rsid w:val="000A037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0A037B"/>
    <w:rPr>
      <w:i/>
      <w:iCs/>
    </w:rPr>
  </w:style>
  <w:style w:type="paragraph" w:styleId="NoSpacing">
    <w:name w:val="No Spacing"/>
    <w:basedOn w:val="Normal"/>
    <w:uiPriority w:val="1"/>
    <w:qFormat/>
    <w:rsid w:val="00231FC6"/>
    <w:pPr>
      <w:spacing w:after="0"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231FC6"/>
    <w:rPr>
      <w:color w:val="800080" w:themeColor="followedHyperlink"/>
      <w:u w:val="single"/>
    </w:rPr>
  </w:style>
  <w:style w:type="character" w:styleId="UnresolvedMention">
    <w:name w:val="Unresolved Mention"/>
    <w:basedOn w:val="DefaultParagraphFont"/>
    <w:uiPriority w:val="99"/>
    <w:semiHidden/>
    <w:unhideWhenUsed/>
    <w:rsid w:val="00EA2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9689">
      <w:bodyDiv w:val="1"/>
      <w:marLeft w:val="0"/>
      <w:marRight w:val="0"/>
      <w:marTop w:val="0"/>
      <w:marBottom w:val="0"/>
      <w:divBdr>
        <w:top w:val="none" w:sz="0" w:space="0" w:color="auto"/>
        <w:left w:val="none" w:sz="0" w:space="0" w:color="auto"/>
        <w:bottom w:val="none" w:sz="0" w:space="0" w:color="auto"/>
        <w:right w:val="none" w:sz="0" w:space="0" w:color="auto"/>
      </w:divBdr>
    </w:div>
    <w:div w:id="56441075">
      <w:bodyDiv w:val="1"/>
      <w:marLeft w:val="0"/>
      <w:marRight w:val="0"/>
      <w:marTop w:val="0"/>
      <w:marBottom w:val="0"/>
      <w:divBdr>
        <w:top w:val="none" w:sz="0" w:space="0" w:color="auto"/>
        <w:left w:val="none" w:sz="0" w:space="0" w:color="auto"/>
        <w:bottom w:val="none" w:sz="0" w:space="0" w:color="auto"/>
        <w:right w:val="none" w:sz="0" w:space="0" w:color="auto"/>
      </w:divBdr>
    </w:div>
    <w:div w:id="110365756">
      <w:bodyDiv w:val="1"/>
      <w:marLeft w:val="0"/>
      <w:marRight w:val="0"/>
      <w:marTop w:val="0"/>
      <w:marBottom w:val="0"/>
      <w:divBdr>
        <w:top w:val="none" w:sz="0" w:space="0" w:color="auto"/>
        <w:left w:val="none" w:sz="0" w:space="0" w:color="auto"/>
        <w:bottom w:val="none" w:sz="0" w:space="0" w:color="auto"/>
        <w:right w:val="none" w:sz="0" w:space="0" w:color="auto"/>
      </w:divBdr>
    </w:div>
    <w:div w:id="242184575">
      <w:bodyDiv w:val="1"/>
      <w:marLeft w:val="0"/>
      <w:marRight w:val="0"/>
      <w:marTop w:val="0"/>
      <w:marBottom w:val="0"/>
      <w:divBdr>
        <w:top w:val="none" w:sz="0" w:space="0" w:color="auto"/>
        <w:left w:val="none" w:sz="0" w:space="0" w:color="auto"/>
        <w:bottom w:val="none" w:sz="0" w:space="0" w:color="auto"/>
        <w:right w:val="none" w:sz="0" w:space="0" w:color="auto"/>
      </w:divBdr>
    </w:div>
    <w:div w:id="479928722">
      <w:bodyDiv w:val="1"/>
      <w:marLeft w:val="0"/>
      <w:marRight w:val="0"/>
      <w:marTop w:val="0"/>
      <w:marBottom w:val="0"/>
      <w:divBdr>
        <w:top w:val="none" w:sz="0" w:space="0" w:color="auto"/>
        <w:left w:val="none" w:sz="0" w:space="0" w:color="auto"/>
        <w:bottom w:val="none" w:sz="0" w:space="0" w:color="auto"/>
        <w:right w:val="none" w:sz="0" w:space="0" w:color="auto"/>
      </w:divBdr>
    </w:div>
    <w:div w:id="687223244">
      <w:bodyDiv w:val="1"/>
      <w:marLeft w:val="0"/>
      <w:marRight w:val="0"/>
      <w:marTop w:val="0"/>
      <w:marBottom w:val="0"/>
      <w:divBdr>
        <w:top w:val="none" w:sz="0" w:space="0" w:color="auto"/>
        <w:left w:val="none" w:sz="0" w:space="0" w:color="auto"/>
        <w:bottom w:val="none" w:sz="0" w:space="0" w:color="auto"/>
        <w:right w:val="none" w:sz="0" w:space="0" w:color="auto"/>
      </w:divBdr>
    </w:div>
    <w:div w:id="918977052">
      <w:bodyDiv w:val="1"/>
      <w:marLeft w:val="0"/>
      <w:marRight w:val="0"/>
      <w:marTop w:val="0"/>
      <w:marBottom w:val="0"/>
      <w:divBdr>
        <w:top w:val="none" w:sz="0" w:space="0" w:color="auto"/>
        <w:left w:val="none" w:sz="0" w:space="0" w:color="auto"/>
        <w:bottom w:val="none" w:sz="0" w:space="0" w:color="auto"/>
        <w:right w:val="none" w:sz="0" w:space="0" w:color="auto"/>
      </w:divBdr>
    </w:div>
    <w:div w:id="1183596166">
      <w:bodyDiv w:val="1"/>
      <w:marLeft w:val="0"/>
      <w:marRight w:val="0"/>
      <w:marTop w:val="0"/>
      <w:marBottom w:val="0"/>
      <w:divBdr>
        <w:top w:val="none" w:sz="0" w:space="0" w:color="auto"/>
        <w:left w:val="none" w:sz="0" w:space="0" w:color="auto"/>
        <w:bottom w:val="none" w:sz="0" w:space="0" w:color="auto"/>
        <w:right w:val="none" w:sz="0" w:space="0" w:color="auto"/>
      </w:divBdr>
    </w:div>
    <w:div w:id="1358656654">
      <w:bodyDiv w:val="1"/>
      <w:marLeft w:val="0"/>
      <w:marRight w:val="0"/>
      <w:marTop w:val="0"/>
      <w:marBottom w:val="0"/>
      <w:divBdr>
        <w:top w:val="none" w:sz="0" w:space="0" w:color="auto"/>
        <w:left w:val="none" w:sz="0" w:space="0" w:color="auto"/>
        <w:bottom w:val="none" w:sz="0" w:space="0" w:color="auto"/>
        <w:right w:val="none" w:sz="0" w:space="0" w:color="auto"/>
      </w:divBdr>
    </w:div>
    <w:div w:id="1461457743">
      <w:bodyDiv w:val="1"/>
      <w:marLeft w:val="0"/>
      <w:marRight w:val="0"/>
      <w:marTop w:val="0"/>
      <w:marBottom w:val="0"/>
      <w:divBdr>
        <w:top w:val="none" w:sz="0" w:space="0" w:color="auto"/>
        <w:left w:val="none" w:sz="0" w:space="0" w:color="auto"/>
        <w:bottom w:val="none" w:sz="0" w:space="0" w:color="auto"/>
        <w:right w:val="none" w:sz="0" w:space="0" w:color="auto"/>
      </w:divBdr>
    </w:div>
    <w:div w:id="1478306132">
      <w:bodyDiv w:val="1"/>
      <w:marLeft w:val="0"/>
      <w:marRight w:val="0"/>
      <w:marTop w:val="0"/>
      <w:marBottom w:val="0"/>
      <w:divBdr>
        <w:top w:val="none" w:sz="0" w:space="0" w:color="auto"/>
        <w:left w:val="none" w:sz="0" w:space="0" w:color="auto"/>
        <w:bottom w:val="none" w:sz="0" w:space="0" w:color="auto"/>
        <w:right w:val="none" w:sz="0" w:space="0" w:color="auto"/>
      </w:divBdr>
    </w:div>
    <w:div w:id="1534226096">
      <w:bodyDiv w:val="1"/>
      <w:marLeft w:val="0"/>
      <w:marRight w:val="0"/>
      <w:marTop w:val="0"/>
      <w:marBottom w:val="0"/>
      <w:divBdr>
        <w:top w:val="none" w:sz="0" w:space="0" w:color="auto"/>
        <w:left w:val="none" w:sz="0" w:space="0" w:color="auto"/>
        <w:bottom w:val="none" w:sz="0" w:space="0" w:color="auto"/>
        <w:right w:val="none" w:sz="0" w:space="0" w:color="auto"/>
      </w:divBdr>
    </w:div>
    <w:div w:id="1701853698">
      <w:bodyDiv w:val="1"/>
      <w:marLeft w:val="0"/>
      <w:marRight w:val="0"/>
      <w:marTop w:val="0"/>
      <w:marBottom w:val="0"/>
      <w:divBdr>
        <w:top w:val="none" w:sz="0" w:space="0" w:color="auto"/>
        <w:left w:val="none" w:sz="0" w:space="0" w:color="auto"/>
        <w:bottom w:val="none" w:sz="0" w:space="0" w:color="auto"/>
        <w:right w:val="none" w:sz="0" w:space="0" w:color="auto"/>
      </w:divBdr>
    </w:div>
    <w:div w:id="1832406947">
      <w:bodyDiv w:val="1"/>
      <w:marLeft w:val="0"/>
      <w:marRight w:val="0"/>
      <w:marTop w:val="0"/>
      <w:marBottom w:val="0"/>
      <w:divBdr>
        <w:top w:val="none" w:sz="0" w:space="0" w:color="auto"/>
        <w:left w:val="none" w:sz="0" w:space="0" w:color="auto"/>
        <w:bottom w:val="none" w:sz="0" w:space="0" w:color="auto"/>
        <w:right w:val="none" w:sz="0" w:space="0" w:color="auto"/>
      </w:divBdr>
    </w:div>
    <w:div w:id="1838956630">
      <w:bodyDiv w:val="1"/>
      <w:marLeft w:val="0"/>
      <w:marRight w:val="0"/>
      <w:marTop w:val="0"/>
      <w:marBottom w:val="0"/>
      <w:divBdr>
        <w:top w:val="none" w:sz="0" w:space="0" w:color="auto"/>
        <w:left w:val="none" w:sz="0" w:space="0" w:color="auto"/>
        <w:bottom w:val="none" w:sz="0" w:space="0" w:color="auto"/>
        <w:right w:val="none" w:sz="0" w:space="0" w:color="auto"/>
      </w:divBdr>
    </w:div>
    <w:div w:id="1865288946">
      <w:bodyDiv w:val="1"/>
      <w:marLeft w:val="0"/>
      <w:marRight w:val="0"/>
      <w:marTop w:val="0"/>
      <w:marBottom w:val="0"/>
      <w:divBdr>
        <w:top w:val="none" w:sz="0" w:space="0" w:color="auto"/>
        <w:left w:val="none" w:sz="0" w:space="0" w:color="auto"/>
        <w:bottom w:val="none" w:sz="0" w:space="0" w:color="auto"/>
        <w:right w:val="none" w:sz="0" w:space="0" w:color="auto"/>
      </w:divBdr>
    </w:div>
    <w:div w:id="1984850527">
      <w:bodyDiv w:val="1"/>
      <w:marLeft w:val="0"/>
      <w:marRight w:val="0"/>
      <w:marTop w:val="0"/>
      <w:marBottom w:val="0"/>
      <w:divBdr>
        <w:top w:val="none" w:sz="0" w:space="0" w:color="auto"/>
        <w:left w:val="none" w:sz="0" w:space="0" w:color="auto"/>
        <w:bottom w:val="none" w:sz="0" w:space="0" w:color="auto"/>
        <w:right w:val="none" w:sz="0" w:space="0" w:color="auto"/>
      </w:divBdr>
    </w:div>
    <w:div w:id="2034190489">
      <w:bodyDiv w:val="1"/>
      <w:marLeft w:val="0"/>
      <w:marRight w:val="0"/>
      <w:marTop w:val="0"/>
      <w:marBottom w:val="0"/>
      <w:divBdr>
        <w:top w:val="none" w:sz="0" w:space="0" w:color="auto"/>
        <w:left w:val="none" w:sz="0" w:space="0" w:color="auto"/>
        <w:bottom w:val="none" w:sz="0" w:space="0" w:color="auto"/>
        <w:right w:val="none" w:sz="0" w:space="0" w:color="auto"/>
      </w:divBdr>
    </w:div>
    <w:div w:id="20514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B376-907A-40B8-8A68-B173B96D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558</Words>
  <Characters>3185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Jaclyn Bucik</dc:creator>
  <cp:lastModifiedBy>Gerry McCrank</cp:lastModifiedBy>
  <cp:revision>4</cp:revision>
  <cp:lastPrinted>2025-03-04T14:11:00Z</cp:lastPrinted>
  <dcterms:created xsi:type="dcterms:W3CDTF">2025-03-06T15:49:00Z</dcterms:created>
  <dcterms:modified xsi:type="dcterms:W3CDTF">2025-03-06T16:12:00Z</dcterms:modified>
</cp:coreProperties>
</file>